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7A" w:rsidRPr="002C4395" w:rsidRDefault="00610F7A" w:rsidP="00610F7A">
      <w:pPr>
        <w:ind w:left="993"/>
        <w:rPr>
          <w:rFonts w:ascii="Arial" w:hAnsi="Arial" w:cs="Arial"/>
          <w:b/>
        </w:rPr>
      </w:pPr>
    </w:p>
    <w:p w:rsidR="005420FC" w:rsidRPr="002C4395" w:rsidRDefault="0064230C" w:rsidP="00610F7A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Material</w:t>
      </w:r>
    </w:p>
    <w:p w:rsidR="00C33EA2" w:rsidRPr="002C4395" w:rsidRDefault="00C33EA2" w:rsidP="00610F7A">
      <w:pPr>
        <w:ind w:left="567"/>
        <w:rPr>
          <w:rFonts w:ascii="Arial" w:hAnsi="Arial" w:cs="Arial"/>
          <w:b/>
          <w:sz w:val="24"/>
          <w:szCs w:val="24"/>
        </w:rPr>
      </w:pPr>
    </w:p>
    <w:p w:rsidR="00C33EA2" w:rsidRPr="002C4395" w:rsidRDefault="00C33EA2" w:rsidP="00610F7A">
      <w:pPr>
        <w:ind w:left="567"/>
        <w:rPr>
          <w:rFonts w:ascii="Arial" w:hAnsi="Arial" w:cs="Arial"/>
          <w:b/>
          <w:sz w:val="24"/>
          <w:szCs w:val="24"/>
        </w:rPr>
      </w:pPr>
      <w:r w:rsidRPr="002C4395">
        <w:rPr>
          <w:rFonts w:ascii="Arial" w:hAnsi="Arial" w:cs="Arial"/>
          <w:b/>
          <w:sz w:val="24"/>
          <w:szCs w:val="24"/>
        </w:rPr>
        <w:t>Contents</w:t>
      </w:r>
    </w:p>
    <w:p w:rsidR="0064230C" w:rsidRDefault="00A065DB">
      <w:pPr>
        <w:pStyle w:val="TOC1"/>
        <w:rPr>
          <w:rFonts w:asciiTheme="minorHAnsi" w:eastAsiaTheme="minorEastAsia" w:hAnsiTheme="minorHAnsi"/>
          <w:noProof/>
          <w:lang w:val="en-US"/>
        </w:rPr>
      </w:pPr>
      <w:r w:rsidRPr="002C4395">
        <w:rPr>
          <w:rFonts w:ascii="Arial" w:hAnsi="Arial" w:cs="Arial"/>
          <w:b/>
        </w:rPr>
        <w:fldChar w:fldCharType="begin"/>
      </w:r>
      <w:r w:rsidRPr="002C4395">
        <w:rPr>
          <w:rFonts w:ascii="Arial" w:hAnsi="Arial" w:cs="Arial"/>
          <w:b/>
        </w:rPr>
        <w:instrText xml:space="preserve"> TOC \o "1-1" \h \z \u </w:instrText>
      </w:r>
      <w:r w:rsidRPr="002C4395">
        <w:rPr>
          <w:rFonts w:ascii="Arial" w:hAnsi="Arial" w:cs="Arial"/>
          <w:b/>
        </w:rPr>
        <w:fldChar w:fldCharType="separate"/>
      </w:r>
      <w:hyperlink w:anchor="_Toc482717587" w:history="1">
        <w:r w:rsidR="0064230C" w:rsidRPr="003073BC">
          <w:rPr>
            <w:rStyle w:val="Hyperlink"/>
            <w:rFonts w:ascii="Arial" w:hAnsi="Arial" w:cs="Arial"/>
            <w:noProof/>
          </w:rPr>
          <w:t>Table S1: Summary of imputed cognitive test scores by age of assessment</w:t>
        </w:r>
        <w:r w:rsidR="0064230C">
          <w:rPr>
            <w:noProof/>
            <w:webHidden/>
          </w:rPr>
          <w:tab/>
        </w:r>
        <w:r w:rsidR="0064230C">
          <w:rPr>
            <w:noProof/>
            <w:webHidden/>
          </w:rPr>
          <w:fldChar w:fldCharType="begin"/>
        </w:r>
        <w:r w:rsidR="0064230C">
          <w:rPr>
            <w:noProof/>
            <w:webHidden/>
          </w:rPr>
          <w:instrText xml:space="preserve"> PAGEREF _Toc482717587 \h </w:instrText>
        </w:r>
        <w:r w:rsidR="0064230C">
          <w:rPr>
            <w:noProof/>
            <w:webHidden/>
          </w:rPr>
        </w:r>
        <w:r w:rsidR="0064230C">
          <w:rPr>
            <w:noProof/>
            <w:webHidden/>
          </w:rPr>
          <w:fldChar w:fldCharType="separate"/>
        </w:r>
        <w:r w:rsidR="0064230C">
          <w:rPr>
            <w:noProof/>
            <w:webHidden/>
          </w:rPr>
          <w:t>1</w:t>
        </w:r>
        <w:r w:rsidR="0064230C">
          <w:rPr>
            <w:noProof/>
            <w:webHidden/>
          </w:rPr>
          <w:fldChar w:fldCharType="end"/>
        </w:r>
      </w:hyperlink>
    </w:p>
    <w:p w:rsidR="0064230C" w:rsidRDefault="005C034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82717588" w:history="1">
        <w:r w:rsidR="0064230C" w:rsidRPr="003073BC">
          <w:rPr>
            <w:rStyle w:val="Hyperlink"/>
            <w:rFonts w:ascii="Arial" w:hAnsi="Arial" w:cs="Arial"/>
            <w:noProof/>
          </w:rPr>
          <w:t>Table S2: Perinatal and neurodevelopmental characteristics of extremely preterm participants according to completeness of follow-up assessment</w:t>
        </w:r>
        <w:r w:rsidR="0064230C">
          <w:rPr>
            <w:noProof/>
            <w:webHidden/>
          </w:rPr>
          <w:tab/>
        </w:r>
        <w:r w:rsidR="0064230C">
          <w:rPr>
            <w:noProof/>
            <w:webHidden/>
          </w:rPr>
          <w:fldChar w:fldCharType="begin"/>
        </w:r>
        <w:r w:rsidR="0064230C">
          <w:rPr>
            <w:noProof/>
            <w:webHidden/>
          </w:rPr>
          <w:instrText xml:space="preserve"> PAGEREF _Toc482717588 \h </w:instrText>
        </w:r>
        <w:r w:rsidR="0064230C">
          <w:rPr>
            <w:noProof/>
            <w:webHidden/>
          </w:rPr>
        </w:r>
        <w:r w:rsidR="0064230C">
          <w:rPr>
            <w:noProof/>
            <w:webHidden/>
          </w:rPr>
          <w:fldChar w:fldCharType="separate"/>
        </w:r>
        <w:r w:rsidR="0064230C">
          <w:rPr>
            <w:noProof/>
            <w:webHidden/>
          </w:rPr>
          <w:t>2</w:t>
        </w:r>
        <w:r w:rsidR="0064230C">
          <w:rPr>
            <w:noProof/>
            <w:webHidden/>
          </w:rPr>
          <w:fldChar w:fldCharType="end"/>
        </w:r>
      </w:hyperlink>
    </w:p>
    <w:p w:rsidR="0064230C" w:rsidRDefault="005C034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82717589" w:history="1">
        <w:r w:rsidR="0064230C" w:rsidRPr="003073BC">
          <w:rPr>
            <w:rStyle w:val="Hyperlink"/>
            <w:rFonts w:ascii="Arial" w:hAnsi="Arial" w:cs="Arial"/>
            <w:noProof/>
          </w:rPr>
          <w:t>Table S3: Characteristics of term-born controls according to completeness of follow-up assessment</w:t>
        </w:r>
        <w:r w:rsidR="0064230C">
          <w:rPr>
            <w:noProof/>
            <w:webHidden/>
          </w:rPr>
          <w:tab/>
        </w:r>
        <w:r w:rsidR="0064230C">
          <w:rPr>
            <w:noProof/>
            <w:webHidden/>
          </w:rPr>
          <w:fldChar w:fldCharType="begin"/>
        </w:r>
        <w:r w:rsidR="0064230C">
          <w:rPr>
            <w:noProof/>
            <w:webHidden/>
          </w:rPr>
          <w:instrText xml:space="preserve"> PAGEREF _Toc482717589 \h </w:instrText>
        </w:r>
        <w:r w:rsidR="0064230C">
          <w:rPr>
            <w:noProof/>
            <w:webHidden/>
          </w:rPr>
        </w:r>
        <w:r w:rsidR="0064230C">
          <w:rPr>
            <w:noProof/>
            <w:webHidden/>
          </w:rPr>
          <w:fldChar w:fldCharType="separate"/>
        </w:r>
        <w:r w:rsidR="0064230C">
          <w:rPr>
            <w:noProof/>
            <w:webHidden/>
          </w:rPr>
          <w:t>4</w:t>
        </w:r>
        <w:r w:rsidR="0064230C">
          <w:rPr>
            <w:noProof/>
            <w:webHidden/>
          </w:rPr>
          <w:fldChar w:fldCharType="end"/>
        </w:r>
      </w:hyperlink>
    </w:p>
    <w:p w:rsidR="0064230C" w:rsidRDefault="005C034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82717590" w:history="1">
        <w:r w:rsidR="0064230C" w:rsidRPr="003073BC">
          <w:rPr>
            <w:rStyle w:val="Hyperlink"/>
            <w:rFonts w:ascii="Arial" w:hAnsi="Arial" w:cs="Arial"/>
            <w:noProof/>
          </w:rPr>
          <w:t>Figure S1: Predicted between-individual variance function for extremely preterm participants and term-born controls</w:t>
        </w:r>
        <w:r w:rsidR="0064230C">
          <w:rPr>
            <w:noProof/>
            <w:webHidden/>
          </w:rPr>
          <w:tab/>
        </w:r>
        <w:r w:rsidR="0064230C">
          <w:rPr>
            <w:noProof/>
            <w:webHidden/>
          </w:rPr>
          <w:fldChar w:fldCharType="begin"/>
        </w:r>
        <w:r w:rsidR="0064230C">
          <w:rPr>
            <w:noProof/>
            <w:webHidden/>
          </w:rPr>
          <w:instrText xml:space="preserve"> PAGEREF _Toc482717590 \h </w:instrText>
        </w:r>
        <w:r w:rsidR="0064230C">
          <w:rPr>
            <w:noProof/>
            <w:webHidden/>
          </w:rPr>
        </w:r>
        <w:r w:rsidR="0064230C">
          <w:rPr>
            <w:noProof/>
            <w:webHidden/>
          </w:rPr>
          <w:fldChar w:fldCharType="separate"/>
        </w:r>
        <w:r w:rsidR="0064230C">
          <w:rPr>
            <w:noProof/>
            <w:webHidden/>
          </w:rPr>
          <w:t>5</w:t>
        </w:r>
        <w:r w:rsidR="0064230C">
          <w:rPr>
            <w:noProof/>
            <w:webHidden/>
          </w:rPr>
          <w:fldChar w:fldCharType="end"/>
        </w:r>
      </w:hyperlink>
    </w:p>
    <w:p w:rsidR="0064230C" w:rsidRDefault="005C034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82717591" w:history="1">
        <w:r w:rsidR="0064230C" w:rsidRPr="003073BC">
          <w:rPr>
            <w:rStyle w:val="Hyperlink"/>
            <w:rFonts w:ascii="Arial" w:hAnsi="Arial" w:cs="Arial"/>
            <w:noProof/>
          </w:rPr>
          <w:t>Table S4: Complete case analysis: estimated mean differences in cognitive test scores and 95% confidence intervals from mixed model analyses in extremely preterm participants and term-born controls</w:t>
        </w:r>
        <w:r w:rsidR="0064230C">
          <w:rPr>
            <w:noProof/>
            <w:webHidden/>
          </w:rPr>
          <w:tab/>
        </w:r>
        <w:r w:rsidR="0064230C">
          <w:rPr>
            <w:noProof/>
            <w:webHidden/>
          </w:rPr>
          <w:fldChar w:fldCharType="begin"/>
        </w:r>
        <w:r w:rsidR="0064230C">
          <w:rPr>
            <w:noProof/>
            <w:webHidden/>
          </w:rPr>
          <w:instrText xml:space="preserve"> PAGEREF _Toc482717591 \h </w:instrText>
        </w:r>
        <w:r w:rsidR="0064230C">
          <w:rPr>
            <w:noProof/>
            <w:webHidden/>
          </w:rPr>
        </w:r>
        <w:r w:rsidR="0064230C">
          <w:rPr>
            <w:noProof/>
            <w:webHidden/>
          </w:rPr>
          <w:fldChar w:fldCharType="separate"/>
        </w:r>
        <w:r w:rsidR="0064230C">
          <w:rPr>
            <w:noProof/>
            <w:webHidden/>
          </w:rPr>
          <w:t>6</w:t>
        </w:r>
        <w:r w:rsidR="0064230C">
          <w:rPr>
            <w:noProof/>
            <w:webHidden/>
          </w:rPr>
          <w:fldChar w:fldCharType="end"/>
        </w:r>
      </w:hyperlink>
    </w:p>
    <w:p w:rsidR="0064230C" w:rsidRDefault="005C034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82717592" w:history="1">
        <w:r w:rsidR="0064230C" w:rsidRPr="003073BC">
          <w:rPr>
            <w:rStyle w:val="Hyperlink"/>
            <w:rFonts w:ascii="Arial" w:hAnsi="Arial" w:cs="Arial"/>
            <w:noProof/>
          </w:rPr>
          <w:t>Figure S2: Complete case analysis: observed and predicted mean cognitive test scores plus 95% confidence intervals in extremely preterm participants and term-born controls at age 2.5, 6, 11 and 19</w:t>
        </w:r>
        <w:r w:rsidR="0064230C">
          <w:rPr>
            <w:noProof/>
            <w:webHidden/>
          </w:rPr>
          <w:tab/>
        </w:r>
        <w:r w:rsidR="0064230C">
          <w:rPr>
            <w:noProof/>
            <w:webHidden/>
          </w:rPr>
          <w:fldChar w:fldCharType="begin"/>
        </w:r>
        <w:r w:rsidR="0064230C">
          <w:rPr>
            <w:noProof/>
            <w:webHidden/>
          </w:rPr>
          <w:instrText xml:space="preserve"> PAGEREF _Toc482717592 \h </w:instrText>
        </w:r>
        <w:r w:rsidR="0064230C">
          <w:rPr>
            <w:noProof/>
            <w:webHidden/>
          </w:rPr>
        </w:r>
        <w:r w:rsidR="0064230C">
          <w:rPr>
            <w:noProof/>
            <w:webHidden/>
          </w:rPr>
          <w:fldChar w:fldCharType="separate"/>
        </w:r>
        <w:r w:rsidR="0064230C">
          <w:rPr>
            <w:noProof/>
            <w:webHidden/>
          </w:rPr>
          <w:t>7</w:t>
        </w:r>
        <w:r w:rsidR="0064230C">
          <w:rPr>
            <w:noProof/>
            <w:webHidden/>
          </w:rPr>
          <w:fldChar w:fldCharType="end"/>
        </w:r>
      </w:hyperlink>
    </w:p>
    <w:p w:rsidR="00E25E4D" w:rsidRDefault="00A065DB" w:rsidP="00610F7A">
      <w:pPr>
        <w:ind w:left="567"/>
        <w:rPr>
          <w:rFonts w:ascii="Times New Roman" w:hAnsi="Times New Roman" w:cs="Times New Roman"/>
          <w:b/>
          <w:sz w:val="24"/>
        </w:rPr>
      </w:pPr>
      <w:r w:rsidRPr="002C4395">
        <w:rPr>
          <w:rFonts w:ascii="Arial" w:hAnsi="Arial" w:cs="Arial"/>
          <w:b/>
        </w:rPr>
        <w:fldChar w:fldCharType="end"/>
      </w: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F968A5" w:rsidRDefault="00F968A5" w:rsidP="00E25E4D">
      <w:pPr>
        <w:rPr>
          <w:rFonts w:ascii="Times New Roman" w:hAnsi="Times New Roman" w:cs="Times New Roman"/>
          <w:b/>
          <w:sz w:val="24"/>
        </w:rPr>
      </w:pPr>
    </w:p>
    <w:p w:rsidR="0096742C" w:rsidRDefault="0096742C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6729C6" w:rsidRDefault="002C4395" w:rsidP="006729C6">
      <w:pPr>
        <w:pStyle w:val="Heading1"/>
        <w:rPr>
          <w:rFonts w:ascii="Arial" w:hAnsi="Arial" w:cs="Arial"/>
          <w:sz w:val="24"/>
          <w:szCs w:val="24"/>
        </w:rPr>
      </w:pPr>
      <w:bookmarkStart w:id="0" w:name="_Toc482717587"/>
      <w:r>
        <w:rPr>
          <w:rFonts w:ascii="Arial" w:hAnsi="Arial" w:cs="Arial"/>
          <w:sz w:val="24"/>
          <w:szCs w:val="24"/>
        </w:rPr>
        <w:lastRenderedPageBreak/>
        <w:t xml:space="preserve">Table </w:t>
      </w:r>
      <w:r w:rsidR="0064230C">
        <w:rPr>
          <w:rFonts w:ascii="Arial" w:hAnsi="Arial" w:cs="Arial"/>
          <w:sz w:val="24"/>
          <w:szCs w:val="24"/>
        </w:rPr>
        <w:t>S</w:t>
      </w:r>
      <w:r w:rsidR="00305EE2">
        <w:rPr>
          <w:rFonts w:ascii="Arial" w:hAnsi="Arial" w:cs="Arial"/>
          <w:sz w:val="24"/>
          <w:szCs w:val="24"/>
        </w:rPr>
        <w:t>1: Summary of imputed cognitive test scores</w:t>
      </w:r>
      <w:r w:rsidR="006729C6" w:rsidRPr="002C4395">
        <w:rPr>
          <w:rFonts w:ascii="Arial" w:hAnsi="Arial" w:cs="Arial"/>
          <w:sz w:val="24"/>
          <w:szCs w:val="24"/>
        </w:rPr>
        <w:t xml:space="preserve"> by age of assessment</w:t>
      </w:r>
      <w:bookmarkEnd w:id="0"/>
    </w:p>
    <w:p w:rsidR="00C874D1" w:rsidRPr="00C874D1" w:rsidRDefault="00C874D1" w:rsidP="00C874D1">
      <w:pPr>
        <w:rPr>
          <w:lang w:eastAsia="en-GB"/>
        </w:rPr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47"/>
        <w:gridCol w:w="946"/>
        <w:gridCol w:w="8"/>
        <w:gridCol w:w="938"/>
        <w:gridCol w:w="904"/>
        <w:gridCol w:w="989"/>
        <w:gridCol w:w="996"/>
        <w:gridCol w:w="896"/>
        <w:gridCol w:w="1655"/>
      </w:tblGrid>
      <w:tr w:rsidR="006729C6" w:rsidRPr="002C4395" w:rsidTr="002C4395">
        <w:tc>
          <w:tcPr>
            <w:tcW w:w="166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9C6" w:rsidRPr="002C4395" w:rsidRDefault="006729C6" w:rsidP="00672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95">
              <w:rPr>
                <w:rFonts w:ascii="Arial" w:hAnsi="Arial" w:cs="Arial"/>
                <w:b/>
                <w:sz w:val="20"/>
                <w:szCs w:val="20"/>
              </w:rPr>
              <w:t>Imputed range for cognitive test score</w:t>
            </w:r>
          </w:p>
        </w:tc>
        <w:tc>
          <w:tcPr>
            <w:tcW w:w="8079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29C6" w:rsidRPr="002C4395" w:rsidRDefault="002C4395" w:rsidP="002C43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="006729C6" w:rsidRPr="002C4395">
              <w:rPr>
                <w:rFonts w:ascii="Arial" w:hAnsi="Arial" w:cs="Arial"/>
                <w:b/>
                <w:sz w:val="20"/>
                <w:szCs w:val="20"/>
              </w:rPr>
              <w:t xml:space="preserve"> (%) of extremely preterm participants with imputed values by assessment year</w:t>
            </w:r>
          </w:p>
          <w:p w:rsidR="006729C6" w:rsidRPr="002C4395" w:rsidRDefault="006729C6" w:rsidP="00672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9C6" w:rsidRPr="002C4395" w:rsidTr="002C4395">
        <w:tc>
          <w:tcPr>
            <w:tcW w:w="166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729C6" w:rsidRPr="002C4395" w:rsidRDefault="006729C6" w:rsidP="006729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95">
              <w:rPr>
                <w:rFonts w:ascii="Arial" w:hAnsi="Arial" w:cs="Arial"/>
                <w:b/>
                <w:sz w:val="20"/>
                <w:szCs w:val="20"/>
              </w:rPr>
              <w:t>2.5 years</w:t>
            </w:r>
          </w:p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(n=283)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95">
              <w:rPr>
                <w:rFonts w:ascii="Arial" w:hAnsi="Arial" w:cs="Arial"/>
                <w:b/>
                <w:sz w:val="20"/>
                <w:szCs w:val="20"/>
              </w:rPr>
              <w:t>6 years</w:t>
            </w:r>
          </w:p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(n=241)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95">
              <w:rPr>
                <w:rFonts w:ascii="Arial" w:hAnsi="Arial" w:cs="Arial"/>
                <w:b/>
                <w:sz w:val="20"/>
                <w:szCs w:val="20"/>
              </w:rPr>
              <w:t>11 years</w:t>
            </w:r>
          </w:p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(n=217)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395">
              <w:rPr>
                <w:rFonts w:ascii="Arial" w:hAnsi="Arial" w:cs="Arial"/>
                <w:b/>
                <w:sz w:val="20"/>
                <w:szCs w:val="20"/>
              </w:rPr>
              <w:t>19 years</w:t>
            </w:r>
          </w:p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(n=127)</w:t>
            </w:r>
          </w:p>
        </w:tc>
      </w:tr>
      <w:tr w:rsidR="006729C6" w:rsidRPr="002C4395" w:rsidTr="002C4395">
        <w:tc>
          <w:tcPr>
            <w:tcW w:w="16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85-114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2</w:t>
            </w:r>
            <w:r w:rsidRPr="002C4395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6" w:rsidRPr="002C4395" w:rsidTr="002C439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70-84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6" w:rsidRPr="002C4395" w:rsidTr="002C439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55-69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6" w:rsidRPr="002C4395" w:rsidTr="002C439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40-54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6" w:rsidRPr="002C4395" w:rsidTr="002C439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25-39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9C6" w:rsidRPr="002C4395" w:rsidTr="002C4395"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(18.4)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(17.4)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(8.3)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  <w:r w:rsidRPr="002C4395">
              <w:rPr>
                <w:rFonts w:ascii="Arial" w:hAnsi="Arial" w:cs="Arial"/>
                <w:sz w:val="20"/>
                <w:szCs w:val="20"/>
              </w:rPr>
              <w:t>(2.4)</w:t>
            </w:r>
          </w:p>
        </w:tc>
      </w:tr>
      <w:tr w:rsidR="006729C6" w:rsidRPr="002C4395" w:rsidTr="002C4395">
        <w:tc>
          <w:tcPr>
            <w:tcW w:w="9747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29C6" w:rsidRPr="002C4395" w:rsidRDefault="006729C6" w:rsidP="006729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4395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  <w:r w:rsidRPr="002C4395">
              <w:rPr>
                <w:rFonts w:ascii="Arial" w:hAnsi="Arial" w:cs="Arial"/>
                <w:sz w:val="20"/>
                <w:szCs w:val="20"/>
              </w:rPr>
              <w:t xml:space="preserve"> One control also had imputed values in the range 85-100 at age 6 years.</w:t>
            </w:r>
          </w:p>
        </w:tc>
      </w:tr>
    </w:tbl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C874D1" w:rsidRPr="00C874D1" w:rsidRDefault="00C874D1" w:rsidP="00C874D1">
      <w:pPr>
        <w:rPr>
          <w:lang w:eastAsia="en-GB"/>
        </w:rPr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6729C6" w:rsidRDefault="006729C6" w:rsidP="00C33EA2">
      <w:pPr>
        <w:pStyle w:val="Heading1"/>
      </w:pPr>
    </w:p>
    <w:p w:rsidR="00E25E4D" w:rsidRPr="00EB0243" w:rsidRDefault="006F05F7" w:rsidP="00C33EA2">
      <w:pPr>
        <w:pStyle w:val="Heading1"/>
        <w:rPr>
          <w:rFonts w:ascii="Arial" w:hAnsi="Arial" w:cs="Arial"/>
          <w:sz w:val="24"/>
          <w:szCs w:val="24"/>
        </w:rPr>
      </w:pPr>
      <w:bookmarkStart w:id="1" w:name="_Toc482717588"/>
      <w:r w:rsidRPr="00EB0243">
        <w:rPr>
          <w:rFonts w:ascii="Arial" w:hAnsi="Arial" w:cs="Arial"/>
          <w:sz w:val="24"/>
          <w:szCs w:val="24"/>
        </w:rPr>
        <w:lastRenderedPageBreak/>
        <w:t>T</w:t>
      </w:r>
      <w:r w:rsidR="00EB0243">
        <w:rPr>
          <w:rFonts w:ascii="Arial" w:hAnsi="Arial" w:cs="Arial"/>
          <w:sz w:val="24"/>
          <w:szCs w:val="24"/>
        </w:rPr>
        <w:t xml:space="preserve">able </w:t>
      </w:r>
      <w:r w:rsidR="0064230C">
        <w:rPr>
          <w:rFonts w:ascii="Arial" w:hAnsi="Arial" w:cs="Arial"/>
          <w:sz w:val="24"/>
          <w:szCs w:val="24"/>
        </w:rPr>
        <w:t>S</w:t>
      </w:r>
      <w:r w:rsidR="006729C6" w:rsidRPr="00EB0243">
        <w:rPr>
          <w:rFonts w:ascii="Arial" w:hAnsi="Arial" w:cs="Arial"/>
          <w:sz w:val="24"/>
          <w:szCs w:val="24"/>
        </w:rPr>
        <w:t>2</w:t>
      </w:r>
      <w:r w:rsidR="00E25E4D" w:rsidRPr="00EB0243">
        <w:rPr>
          <w:rFonts w:ascii="Arial" w:hAnsi="Arial" w:cs="Arial"/>
          <w:sz w:val="24"/>
          <w:szCs w:val="24"/>
        </w:rPr>
        <w:t xml:space="preserve">: Perinatal and neurodevelopmental characteristics of extremely preterm </w:t>
      </w:r>
      <w:r w:rsidR="00B206FD" w:rsidRPr="00EB0243">
        <w:rPr>
          <w:rFonts w:ascii="Arial" w:hAnsi="Arial" w:cs="Arial"/>
          <w:sz w:val="24"/>
          <w:szCs w:val="24"/>
        </w:rPr>
        <w:t>participants</w:t>
      </w:r>
      <w:r w:rsidR="00E25E4D" w:rsidRPr="00EB0243">
        <w:rPr>
          <w:rFonts w:ascii="Arial" w:hAnsi="Arial" w:cs="Arial"/>
          <w:sz w:val="24"/>
          <w:szCs w:val="24"/>
        </w:rPr>
        <w:t xml:space="preserve"> accord</w:t>
      </w:r>
      <w:r w:rsidR="004E2552" w:rsidRPr="00EB0243">
        <w:rPr>
          <w:rFonts w:ascii="Arial" w:hAnsi="Arial" w:cs="Arial"/>
          <w:sz w:val="24"/>
          <w:szCs w:val="24"/>
        </w:rPr>
        <w:t>ing to completeness of follow-up</w:t>
      </w:r>
      <w:r w:rsidR="00E25E4D" w:rsidRPr="00EB0243">
        <w:rPr>
          <w:rFonts w:ascii="Arial" w:hAnsi="Arial" w:cs="Arial"/>
          <w:sz w:val="24"/>
          <w:szCs w:val="24"/>
        </w:rPr>
        <w:t xml:space="preserve"> assessment</w:t>
      </w:r>
      <w:bookmarkEnd w:id="1"/>
    </w:p>
    <w:p w:rsidR="00C33EA2" w:rsidRPr="00C33EA2" w:rsidRDefault="00C33EA2" w:rsidP="00C33EA2">
      <w:pPr>
        <w:rPr>
          <w:lang w:eastAsia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42"/>
        <w:gridCol w:w="1843"/>
        <w:gridCol w:w="992"/>
      </w:tblGrid>
      <w:tr w:rsidR="00E25E4D" w:rsidRPr="00EB0243" w:rsidTr="00EB0243">
        <w:trPr>
          <w:tblHeader/>
        </w:trPr>
        <w:tc>
          <w:tcPr>
            <w:tcW w:w="5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 xml:space="preserve"> Completers:</w:t>
            </w: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>4 assessments</w:t>
            </w: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>(n=114)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 xml:space="preserve"> Non-completers</w:t>
            </w: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>&lt;4 assessments</w:t>
            </w: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>(n=201)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EB0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0243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r w:rsidRPr="00EB02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</w:tr>
      <w:tr w:rsidR="00E25E4D" w:rsidRPr="00EB0243" w:rsidTr="00EB0243">
        <w:trPr>
          <w:trHeight w:val="462"/>
          <w:tblHeader/>
        </w:trPr>
        <w:tc>
          <w:tcPr>
            <w:tcW w:w="563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>Maternal/paternal factors</w:t>
            </w:r>
          </w:p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Maternal age (years), mean [SD]: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29.4 [5.4] (n=113)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27.9 [6.1] (n=200)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Mother of non-white ethnicity, % (n):</w:t>
            </w:r>
          </w:p>
        </w:tc>
        <w:tc>
          <w:tcPr>
            <w:tcW w:w="2126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15.9% (18/113)</w:t>
            </w:r>
          </w:p>
        </w:tc>
        <w:tc>
          <w:tcPr>
            <w:tcW w:w="1843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27.4% (55/201)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0243">
              <w:rPr>
                <w:rFonts w:ascii="Arial" w:hAnsi="Arial" w:cs="Arial"/>
                <w:sz w:val="20"/>
                <w:szCs w:val="20"/>
              </w:rPr>
              <w:t>Primigravida</w:t>
            </w:r>
            <w:proofErr w:type="spellEnd"/>
            <w:r w:rsidRPr="00EB0243">
              <w:rPr>
                <w:rFonts w:ascii="Arial" w:hAnsi="Arial" w:cs="Arial"/>
                <w:sz w:val="20"/>
                <w:szCs w:val="20"/>
              </w:rPr>
              <w:t>, % (n):</w:t>
            </w:r>
          </w:p>
        </w:tc>
        <w:tc>
          <w:tcPr>
            <w:tcW w:w="2126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35.1% (40/114)</w:t>
            </w:r>
          </w:p>
        </w:tc>
        <w:tc>
          <w:tcPr>
            <w:tcW w:w="1843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27.5% (55/200)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Mother smoked during pregnancy, % (n):</w:t>
            </w:r>
          </w:p>
        </w:tc>
        <w:tc>
          <w:tcPr>
            <w:tcW w:w="2126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27.4% (31/113)</w:t>
            </w:r>
          </w:p>
        </w:tc>
        <w:tc>
          <w:tcPr>
            <w:tcW w:w="1843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36.9% (62/168)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Antenatal steroids given, % (n):</w:t>
            </w:r>
          </w:p>
        </w:tc>
        <w:tc>
          <w:tcPr>
            <w:tcW w:w="2126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81.6% (93/114)</w:t>
            </w:r>
          </w:p>
        </w:tc>
        <w:tc>
          <w:tcPr>
            <w:tcW w:w="1843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77.4% (154/199)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6729C6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Mothe</w:t>
            </w:r>
            <w:r w:rsidR="005C0343">
              <w:rPr>
                <w:rFonts w:ascii="Arial" w:hAnsi="Arial" w:cs="Arial"/>
                <w:sz w:val="20"/>
                <w:szCs w:val="20"/>
              </w:rPr>
              <w:t>r has A’ level or above (or equivalent)</w:t>
            </w:r>
            <w:r w:rsidR="00E25E4D" w:rsidRPr="00EB0243">
              <w:rPr>
                <w:rFonts w:ascii="Arial" w:hAnsi="Arial" w:cs="Arial"/>
                <w:sz w:val="20"/>
                <w:szCs w:val="20"/>
              </w:rPr>
              <w:t>, % (n):</w:t>
            </w:r>
            <w:r w:rsidR="00E25E4D" w:rsidRPr="00EB0243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49.6% (55/111)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27.0% (44/163)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Father's occupation non-manual, % (n):</w:t>
            </w:r>
            <w:r w:rsidRPr="00EB0243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51.0% (50/98)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26.5% (35/132)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</w:tcPr>
          <w:p w:rsidR="00E25E4D" w:rsidRPr="00EB0243" w:rsidRDefault="00E25E4D" w:rsidP="00C33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4D" w:rsidRPr="00EB0243" w:rsidRDefault="00E25E4D" w:rsidP="00C33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>Infant perinatal factors</w:t>
            </w:r>
          </w:p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Multiple birth, % (n):</w:t>
            </w:r>
          </w:p>
        </w:tc>
        <w:tc>
          <w:tcPr>
            <w:tcW w:w="1984" w:type="dxa"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32.5% (37/114)</w:t>
            </w:r>
          </w:p>
        </w:tc>
        <w:tc>
          <w:tcPr>
            <w:tcW w:w="1985" w:type="dxa"/>
            <w:gridSpan w:val="2"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21.0% (42/200)</w:t>
            </w:r>
          </w:p>
        </w:tc>
        <w:tc>
          <w:tcPr>
            <w:tcW w:w="992" w:type="dxa"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Congenital anomaly present, % (n):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1.8% (2/114)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3.0% (6/200)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Gestational age 24 weeks or less, % (n):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43.0% (49/114)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39.8% (80/201)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Birthweight (grams), mean [SD]: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745 [127] (n=114)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749 [107] (n=201)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Male sex, % (n):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45.6% (52/114)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51.2% (103/201)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Moderate/Severe brain injury during neonatal period, % (n):</w:t>
            </w:r>
            <w:r w:rsidRPr="00EB0243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18.4% (21/114)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25.0% (50/200)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Laser or cryotherapy for retinopathy of prematurity, % (n):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14.3% (16/112)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14.7% (29/198)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Laparotomy for necrotising enterocolitis, % (n):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1.8% (2/111)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3.6% (7/197)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Supplemental oxygen at 36 weeks, % (n):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71.1% (81/114)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75.6% (152/201)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</w:tcPr>
          <w:p w:rsidR="00E25E4D" w:rsidRPr="00EB0243" w:rsidRDefault="00E25E4D" w:rsidP="00C33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4D" w:rsidRPr="00EB0243" w:rsidRDefault="00E25E4D" w:rsidP="00C33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>Infant developmental outcomes at 2.5 years</w:t>
            </w:r>
          </w:p>
        </w:tc>
        <w:tc>
          <w:tcPr>
            <w:tcW w:w="1984" w:type="dxa"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BSID-II Mental Developmental Index, mean [SD]: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82.7 [14.4] (n=114)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76.1 [17.2] (n=169)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BSID-II Psychomotor Developmental Index, , mean [SD]: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83.9 [17.4] (n=108)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79.0 [18.6] (n=154)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BSID-II Behaviour Rating Percentile, , mean [SD]:</w:t>
            </w:r>
          </w:p>
        </w:tc>
        <w:tc>
          <w:tcPr>
            <w:tcW w:w="198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36.4 [26.6] (n=108)</w:t>
            </w:r>
          </w:p>
        </w:tc>
        <w:tc>
          <w:tcPr>
            <w:tcW w:w="1985" w:type="dxa"/>
            <w:gridSpan w:val="2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35.7 [24.5] (n=151)</w:t>
            </w:r>
          </w:p>
        </w:tc>
        <w:tc>
          <w:tcPr>
            <w:tcW w:w="992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CBCL Total Problem T-score, mean [SD]: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55.6 [9.4] (n=112)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55.8 [9.9] (n=158)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4D" w:rsidRPr="00EB0243" w:rsidRDefault="00E25E4D" w:rsidP="00C33EA2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 xml:space="preserve">Neurodevelopmental impairment at last </w:t>
            </w:r>
            <w:proofErr w:type="spellStart"/>
            <w:r w:rsidRPr="00EB0243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EB02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Cerebral palsy, % (n):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8.8% (10/114)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23.8% (46/193)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Moderate/severe cerebral palsy, % (n):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6.1% (7/114)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14.7% (28/190)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Moderate/severe cognitive impairment, % (n):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45.6% (52/114)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49.4% (88/178)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Moderate/severe visual impairment, % (n):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7.9% (9/114)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12.5% (24/192)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Moderate/severe hearing impairment, % (n):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0.9% (1/114)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2.6% (5/193)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tcBorders>
              <w:top w:val="nil"/>
              <w:left w:val="nil"/>
              <w:right w:val="nil"/>
            </w:tcBorders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Moderate/severe functional impairment, % (n):</w:t>
            </w:r>
            <w:r w:rsidRPr="00EB024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47.4% (54/114)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53.9% (96/178)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E25E4D" w:rsidRPr="00EB0243" w:rsidTr="00EB0243">
        <w:trPr>
          <w:tblHeader/>
        </w:trPr>
        <w:tc>
          <w:tcPr>
            <w:tcW w:w="56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Severe functional impairment, % (n):</w:t>
            </w:r>
            <w:r w:rsidRPr="00EB024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20.2% (23/114)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27.5% (49/178)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E25E4D" w:rsidRPr="00EB0243" w:rsidTr="00EB0243">
        <w:trPr>
          <w:tblHeader/>
        </w:trPr>
        <w:tc>
          <w:tcPr>
            <w:tcW w:w="10598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E25E4D" w:rsidRPr="00EB0243" w:rsidRDefault="00E25E4D" w:rsidP="00C33EA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0243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  </w:t>
            </w:r>
            <w:r w:rsidRPr="00EB0243">
              <w:rPr>
                <w:rFonts w:ascii="Arial" w:hAnsi="Arial" w:cs="Arial"/>
                <w:sz w:val="16"/>
                <w:szCs w:val="16"/>
              </w:rPr>
              <w:t>Two</w:t>
            </w:r>
            <w:proofErr w:type="gramEnd"/>
            <w:r w:rsidRPr="00EB0243">
              <w:rPr>
                <w:rFonts w:ascii="Arial" w:hAnsi="Arial" w:cs="Arial"/>
                <w:sz w:val="16"/>
                <w:szCs w:val="16"/>
              </w:rPr>
              <w:t>-sided p-values were calculated using Fisher's Exact Test for binomial variables and the t-test for continuous variables.</w:t>
            </w:r>
          </w:p>
          <w:p w:rsidR="00E25E4D" w:rsidRPr="00EB0243" w:rsidRDefault="00E25E4D" w:rsidP="00C33EA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0243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b  </w:t>
            </w:r>
            <w:r w:rsidRPr="00EB0243">
              <w:rPr>
                <w:rFonts w:ascii="Arial" w:hAnsi="Arial" w:cs="Arial"/>
                <w:sz w:val="16"/>
                <w:szCs w:val="16"/>
              </w:rPr>
              <w:t>Not</w:t>
            </w:r>
            <w:proofErr w:type="gramEnd"/>
            <w:r w:rsidRPr="00EB0243">
              <w:rPr>
                <w:rFonts w:ascii="Arial" w:hAnsi="Arial" w:cs="Arial"/>
                <w:sz w:val="16"/>
                <w:szCs w:val="16"/>
              </w:rPr>
              <w:t xml:space="preserve"> collected at discharge; first collected at one or two year assessment. </w:t>
            </w:r>
          </w:p>
          <w:p w:rsidR="00E25E4D" w:rsidRPr="00EB0243" w:rsidRDefault="00E25E4D" w:rsidP="00C33EA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0243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proofErr w:type="gramEnd"/>
            <w:r w:rsidRPr="00EB0243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B0243">
              <w:rPr>
                <w:rFonts w:ascii="Arial" w:hAnsi="Arial" w:cs="Arial"/>
                <w:sz w:val="16"/>
                <w:szCs w:val="16"/>
              </w:rPr>
              <w:t xml:space="preserve">Parenchymal pathology and/or </w:t>
            </w:r>
            <w:proofErr w:type="spellStart"/>
            <w:r w:rsidRPr="00EB0243">
              <w:rPr>
                <w:rFonts w:ascii="Arial" w:hAnsi="Arial" w:cs="Arial"/>
                <w:sz w:val="16"/>
                <w:szCs w:val="16"/>
              </w:rPr>
              <w:t>ventriculomegaly</w:t>
            </w:r>
            <w:proofErr w:type="spellEnd"/>
            <w:r w:rsidRPr="00EB0243">
              <w:rPr>
                <w:rFonts w:ascii="Arial" w:hAnsi="Arial" w:cs="Arial"/>
                <w:sz w:val="16"/>
                <w:szCs w:val="16"/>
              </w:rPr>
              <w:t xml:space="preserve"> on worst cranial ultrasound scan before discharge home. </w:t>
            </w:r>
          </w:p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0243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  <w:proofErr w:type="gramEnd"/>
            <w:r w:rsidRPr="00EB0243">
              <w:rPr>
                <w:rFonts w:ascii="Arial" w:hAnsi="Arial" w:cs="Arial"/>
                <w:sz w:val="16"/>
                <w:szCs w:val="16"/>
              </w:rPr>
              <w:t xml:space="preserve"> Functional impairment includes cerebral palsy, cognitive, visual or hearing impairment.</w:t>
            </w:r>
          </w:p>
        </w:tc>
      </w:tr>
    </w:tbl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C33EA2" w:rsidRDefault="00C33EA2" w:rsidP="00E25E4D">
      <w:pPr>
        <w:rPr>
          <w:rFonts w:ascii="Times New Roman" w:hAnsi="Times New Roman" w:cs="Times New Roman"/>
          <w:b/>
          <w:sz w:val="24"/>
        </w:rPr>
      </w:pPr>
    </w:p>
    <w:p w:rsidR="0048531F" w:rsidRDefault="0048531F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B0243" w:rsidRDefault="00EB0243" w:rsidP="00E25E4D">
      <w:pPr>
        <w:rPr>
          <w:rFonts w:ascii="Times New Roman" w:hAnsi="Times New Roman" w:cs="Times New Roman"/>
          <w:b/>
          <w:sz w:val="24"/>
        </w:rPr>
      </w:pPr>
    </w:p>
    <w:p w:rsidR="006729C6" w:rsidRDefault="006729C6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Pr="00EB0243" w:rsidRDefault="00EB0243" w:rsidP="00C33EA2">
      <w:pPr>
        <w:pStyle w:val="Heading1"/>
        <w:rPr>
          <w:rFonts w:ascii="Arial" w:hAnsi="Arial" w:cs="Arial"/>
          <w:sz w:val="24"/>
          <w:szCs w:val="24"/>
        </w:rPr>
      </w:pPr>
      <w:bookmarkStart w:id="2" w:name="_Toc482717589"/>
      <w:r w:rsidRPr="00EB0243">
        <w:rPr>
          <w:rFonts w:ascii="Arial" w:hAnsi="Arial" w:cs="Arial"/>
          <w:sz w:val="24"/>
          <w:szCs w:val="24"/>
        </w:rPr>
        <w:lastRenderedPageBreak/>
        <w:t xml:space="preserve">Table </w:t>
      </w:r>
      <w:r w:rsidR="0064230C">
        <w:rPr>
          <w:rFonts w:ascii="Arial" w:hAnsi="Arial" w:cs="Arial"/>
          <w:sz w:val="24"/>
          <w:szCs w:val="24"/>
        </w:rPr>
        <w:t>S</w:t>
      </w:r>
      <w:r w:rsidR="006729C6" w:rsidRPr="00EB0243">
        <w:rPr>
          <w:rFonts w:ascii="Arial" w:hAnsi="Arial" w:cs="Arial"/>
          <w:sz w:val="24"/>
          <w:szCs w:val="24"/>
        </w:rPr>
        <w:t>3</w:t>
      </w:r>
      <w:r w:rsidR="00E25E4D" w:rsidRPr="00EB0243">
        <w:rPr>
          <w:rFonts w:ascii="Arial" w:hAnsi="Arial" w:cs="Arial"/>
          <w:sz w:val="24"/>
          <w:szCs w:val="24"/>
        </w:rPr>
        <w:t>: Charac</w:t>
      </w:r>
      <w:r w:rsidR="00305EE2">
        <w:rPr>
          <w:rFonts w:ascii="Arial" w:hAnsi="Arial" w:cs="Arial"/>
          <w:sz w:val="24"/>
          <w:szCs w:val="24"/>
        </w:rPr>
        <w:t>teristics of term-born</w:t>
      </w:r>
      <w:r w:rsidR="00E25E4D" w:rsidRPr="00EB0243">
        <w:rPr>
          <w:rFonts w:ascii="Arial" w:hAnsi="Arial" w:cs="Arial"/>
          <w:sz w:val="24"/>
          <w:szCs w:val="24"/>
        </w:rPr>
        <w:t xml:space="preserve"> controls according to completeness of follow-up assessment</w:t>
      </w:r>
      <w:bookmarkEnd w:id="2"/>
    </w:p>
    <w:tbl>
      <w:tblPr>
        <w:tblStyle w:val="TableGrid"/>
        <w:tblpPr w:leftFromText="180" w:rightFromText="180" w:vertAnchor="text" w:horzAnchor="margin" w:tblpY="22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701"/>
        <w:gridCol w:w="1843"/>
        <w:gridCol w:w="1134"/>
      </w:tblGrid>
      <w:tr w:rsidR="00E25E4D" w:rsidRPr="00EB0243" w:rsidTr="00EB0243">
        <w:trPr>
          <w:tblHeader/>
        </w:trPr>
        <w:tc>
          <w:tcPr>
            <w:tcW w:w="60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 xml:space="preserve"> Completers:</w:t>
            </w:r>
          </w:p>
          <w:p w:rsidR="00E25E4D" w:rsidRPr="00EB0243" w:rsidRDefault="00EB0243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="00E25E4D" w:rsidRPr="00EB0243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>(n=53)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 xml:space="preserve"> Non-completers</w:t>
            </w: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>&lt;3 assessments</w:t>
            </w: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243">
              <w:rPr>
                <w:rFonts w:ascii="Arial" w:hAnsi="Arial" w:cs="Arial"/>
                <w:b/>
                <w:sz w:val="20"/>
                <w:szCs w:val="20"/>
              </w:rPr>
              <w:t>(n=153)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EB02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0243">
              <w:rPr>
                <w:rFonts w:ascii="Arial" w:hAnsi="Arial" w:cs="Arial"/>
                <w:b/>
                <w:sz w:val="20"/>
                <w:szCs w:val="20"/>
              </w:rPr>
              <w:t>value</w:t>
            </w:r>
            <w:r w:rsidRPr="00EB024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E25E4D" w:rsidRPr="00EB0243" w:rsidTr="00EB0243">
        <w:trPr>
          <w:tblHeader/>
        </w:trPr>
        <w:tc>
          <w:tcPr>
            <w:tcW w:w="6062" w:type="dxa"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6729C6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Mothe</w:t>
            </w:r>
            <w:r w:rsidR="005C0343">
              <w:rPr>
                <w:rFonts w:ascii="Arial" w:hAnsi="Arial" w:cs="Arial"/>
                <w:sz w:val="20"/>
                <w:szCs w:val="20"/>
              </w:rPr>
              <w:t>r has A ’level or above (or equivalent)</w:t>
            </w:r>
            <w:r w:rsidR="00E25E4D" w:rsidRPr="00EB0243">
              <w:rPr>
                <w:rFonts w:ascii="Arial" w:hAnsi="Arial" w:cs="Arial"/>
                <w:sz w:val="20"/>
                <w:szCs w:val="20"/>
              </w:rPr>
              <w:t>, % (n):</w:t>
            </w:r>
          </w:p>
        </w:tc>
        <w:tc>
          <w:tcPr>
            <w:tcW w:w="1701" w:type="dxa"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48.1% (25/52)</w:t>
            </w:r>
          </w:p>
        </w:tc>
        <w:tc>
          <w:tcPr>
            <w:tcW w:w="1843" w:type="dxa"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37.9% (50/132)</w:t>
            </w:r>
          </w:p>
        </w:tc>
        <w:tc>
          <w:tcPr>
            <w:tcW w:w="1134" w:type="dxa"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  <w:tr w:rsidR="00E25E4D" w:rsidRPr="00EB0243" w:rsidTr="00EB0243">
        <w:trPr>
          <w:tblHeader/>
        </w:trPr>
        <w:tc>
          <w:tcPr>
            <w:tcW w:w="6062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Male sex, % (n):</w:t>
            </w:r>
          </w:p>
        </w:tc>
        <w:tc>
          <w:tcPr>
            <w:tcW w:w="1701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39.6% (21/53)</w:t>
            </w:r>
          </w:p>
        </w:tc>
        <w:tc>
          <w:tcPr>
            <w:tcW w:w="1843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43.8% (67/153)</w:t>
            </w:r>
          </w:p>
        </w:tc>
        <w:tc>
          <w:tcPr>
            <w:tcW w:w="113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E25E4D" w:rsidRPr="00EB0243" w:rsidTr="00EB0243">
        <w:trPr>
          <w:tblHeader/>
        </w:trPr>
        <w:tc>
          <w:tcPr>
            <w:tcW w:w="6062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Any cognitive impairment at last assessment, % (n)</w:t>
            </w:r>
          </w:p>
        </w:tc>
        <w:tc>
          <w:tcPr>
            <w:tcW w:w="1701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17.0% (9/53)</w:t>
            </w:r>
          </w:p>
        </w:tc>
        <w:tc>
          <w:tcPr>
            <w:tcW w:w="1843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18.7% (28/150)</w:t>
            </w:r>
          </w:p>
        </w:tc>
        <w:tc>
          <w:tcPr>
            <w:tcW w:w="113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</w:tr>
      <w:tr w:rsidR="00E25E4D" w:rsidRPr="00EB0243" w:rsidTr="00EB0243">
        <w:trPr>
          <w:tblHeader/>
        </w:trPr>
        <w:tc>
          <w:tcPr>
            <w:tcW w:w="6062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Moderate/severe cognitive i</w:t>
            </w:r>
            <w:r w:rsidR="00EB0243">
              <w:rPr>
                <w:rFonts w:ascii="Arial" w:hAnsi="Arial" w:cs="Arial"/>
                <w:sz w:val="20"/>
                <w:szCs w:val="20"/>
              </w:rPr>
              <w:t xml:space="preserve">mpairment at last assessment, % </w:t>
            </w:r>
            <w:r w:rsidRPr="00EB0243">
              <w:rPr>
                <w:rFonts w:ascii="Arial" w:hAnsi="Arial" w:cs="Arial"/>
                <w:sz w:val="20"/>
                <w:szCs w:val="20"/>
              </w:rPr>
              <w:t>(n):</w:t>
            </w:r>
          </w:p>
        </w:tc>
        <w:tc>
          <w:tcPr>
            <w:tcW w:w="1701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3.8% (2/53)</w:t>
            </w:r>
          </w:p>
        </w:tc>
        <w:tc>
          <w:tcPr>
            <w:tcW w:w="1843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2.0% (3/150)</w:t>
            </w:r>
          </w:p>
        </w:tc>
        <w:tc>
          <w:tcPr>
            <w:tcW w:w="113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</w:tr>
      <w:tr w:rsidR="00E25E4D" w:rsidRPr="00EB0243" w:rsidTr="00EB0243">
        <w:trPr>
          <w:tblHeader/>
        </w:trPr>
        <w:tc>
          <w:tcPr>
            <w:tcW w:w="6062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Any visual impairment at last assessment, % (n):</w:t>
            </w:r>
          </w:p>
        </w:tc>
        <w:tc>
          <w:tcPr>
            <w:tcW w:w="1701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39.6% (21/53)</w:t>
            </w:r>
          </w:p>
        </w:tc>
        <w:tc>
          <w:tcPr>
            <w:tcW w:w="1843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14.1% (21/149)</w:t>
            </w:r>
          </w:p>
        </w:tc>
        <w:tc>
          <w:tcPr>
            <w:tcW w:w="113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25E4D" w:rsidRPr="00EB0243" w:rsidTr="00EB0243">
        <w:trPr>
          <w:tblHeader/>
        </w:trPr>
        <w:tc>
          <w:tcPr>
            <w:tcW w:w="6062" w:type="dxa"/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Any hearing impairment at last assessment, % (n):</w:t>
            </w:r>
          </w:p>
        </w:tc>
        <w:tc>
          <w:tcPr>
            <w:tcW w:w="1701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1.9% (1/53)</w:t>
            </w:r>
          </w:p>
        </w:tc>
        <w:tc>
          <w:tcPr>
            <w:tcW w:w="1843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0.0% (0/149)</w:t>
            </w:r>
          </w:p>
        </w:tc>
        <w:tc>
          <w:tcPr>
            <w:tcW w:w="1134" w:type="dxa"/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E25E4D" w:rsidRPr="00EB0243" w:rsidTr="00EB0243">
        <w:trPr>
          <w:tblHeader/>
        </w:trPr>
        <w:tc>
          <w:tcPr>
            <w:tcW w:w="60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5E4D" w:rsidRPr="00EB0243" w:rsidRDefault="00E25E4D" w:rsidP="00C33EA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Any functional impairment at last assessment, % (n):</w:t>
            </w:r>
            <w:r w:rsidRPr="00EB0243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49.1% (26/53)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30.9% (46/149)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5E4D" w:rsidRPr="00EB0243" w:rsidRDefault="00E25E4D" w:rsidP="00C33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243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E25E4D" w:rsidRPr="00EB0243" w:rsidTr="00EB0243">
        <w:trPr>
          <w:tblHeader/>
        </w:trPr>
        <w:tc>
          <w:tcPr>
            <w:tcW w:w="10740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E25E4D" w:rsidRPr="00EB0243" w:rsidRDefault="00E25E4D" w:rsidP="00C33EA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0243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a  </w:t>
            </w:r>
            <w:r w:rsidRPr="00EB0243">
              <w:rPr>
                <w:rFonts w:ascii="Arial" w:hAnsi="Arial" w:cs="Arial"/>
                <w:sz w:val="16"/>
                <w:szCs w:val="16"/>
              </w:rPr>
              <w:t>Two</w:t>
            </w:r>
            <w:proofErr w:type="gramEnd"/>
            <w:r w:rsidRPr="00EB0243">
              <w:rPr>
                <w:rFonts w:ascii="Arial" w:hAnsi="Arial" w:cs="Arial"/>
                <w:sz w:val="16"/>
                <w:szCs w:val="16"/>
              </w:rPr>
              <w:t>-sided p-values were calculated using Fisher's Exact Test.</w:t>
            </w:r>
          </w:p>
          <w:p w:rsidR="00E25E4D" w:rsidRPr="00EB0243" w:rsidRDefault="00E25E4D" w:rsidP="00C33EA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0243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gramEnd"/>
            <w:r w:rsidRPr="00EB0243">
              <w:rPr>
                <w:rFonts w:ascii="Arial" w:hAnsi="Arial" w:cs="Arial"/>
                <w:sz w:val="16"/>
                <w:szCs w:val="16"/>
              </w:rPr>
              <w:t xml:space="preserve"> Functional impairment includes cerebral palsy, cognitive, visual or hearing impairment.</w:t>
            </w:r>
          </w:p>
        </w:tc>
      </w:tr>
    </w:tbl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E25E4D" w:rsidRDefault="00E25E4D" w:rsidP="00E25E4D">
      <w:pPr>
        <w:rPr>
          <w:rFonts w:ascii="Times New Roman" w:hAnsi="Times New Roman" w:cs="Times New Roman"/>
          <w:b/>
          <w:sz w:val="24"/>
        </w:rPr>
      </w:pPr>
    </w:p>
    <w:p w:rsidR="0048531F" w:rsidRDefault="0048531F" w:rsidP="00E25E4D">
      <w:pPr>
        <w:rPr>
          <w:rFonts w:ascii="Times New Roman" w:hAnsi="Times New Roman" w:cs="Times New Roman"/>
          <w:b/>
          <w:sz w:val="24"/>
          <w:szCs w:val="24"/>
        </w:rPr>
      </w:pPr>
    </w:p>
    <w:p w:rsidR="0048531F" w:rsidRDefault="0048531F" w:rsidP="00E25E4D">
      <w:pPr>
        <w:rPr>
          <w:rFonts w:ascii="Times New Roman" w:hAnsi="Times New Roman" w:cs="Times New Roman"/>
          <w:b/>
          <w:sz w:val="24"/>
          <w:szCs w:val="24"/>
        </w:rPr>
      </w:pPr>
    </w:p>
    <w:p w:rsidR="00EB0243" w:rsidRDefault="00EB0243" w:rsidP="008C1982">
      <w:pPr>
        <w:pStyle w:val="Heading1"/>
        <w:rPr>
          <w:rFonts w:eastAsiaTheme="minorHAnsi"/>
          <w:bCs w:val="0"/>
          <w:sz w:val="24"/>
          <w:szCs w:val="24"/>
          <w:lang w:eastAsia="en-US"/>
        </w:rPr>
      </w:pPr>
    </w:p>
    <w:p w:rsidR="0040067A" w:rsidRPr="00EB0243" w:rsidRDefault="00EB0243" w:rsidP="008C1982">
      <w:pPr>
        <w:pStyle w:val="Heading1"/>
        <w:rPr>
          <w:rFonts w:ascii="Arial" w:hAnsi="Arial" w:cs="Arial"/>
          <w:sz w:val="24"/>
          <w:szCs w:val="24"/>
        </w:rPr>
      </w:pPr>
      <w:bookmarkStart w:id="3" w:name="_Toc482717590"/>
      <w:r w:rsidRPr="00EB0243">
        <w:rPr>
          <w:rFonts w:ascii="Arial" w:hAnsi="Arial" w:cs="Arial"/>
          <w:sz w:val="24"/>
          <w:szCs w:val="24"/>
        </w:rPr>
        <w:lastRenderedPageBreak/>
        <w:t xml:space="preserve">Figure </w:t>
      </w:r>
      <w:r w:rsidR="0064230C">
        <w:rPr>
          <w:rFonts w:ascii="Arial" w:hAnsi="Arial" w:cs="Arial"/>
          <w:sz w:val="24"/>
          <w:szCs w:val="24"/>
        </w:rPr>
        <w:t>S</w:t>
      </w:r>
      <w:r w:rsidR="0040067A" w:rsidRPr="00EB0243">
        <w:rPr>
          <w:rFonts w:ascii="Arial" w:hAnsi="Arial" w:cs="Arial"/>
          <w:sz w:val="24"/>
          <w:szCs w:val="24"/>
        </w:rPr>
        <w:t>1: Predicted between-individual va</w:t>
      </w:r>
      <w:r w:rsidR="00B206FD" w:rsidRPr="00EB0243">
        <w:rPr>
          <w:rFonts w:ascii="Arial" w:hAnsi="Arial" w:cs="Arial"/>
          <w:sz w:val="24"/>
          <w:szCs w:val="24"/>
        </w:rPr>
        <w:t>riance function for extremely preterm participants</w:t>
      </w:r>
      <w:r w:rsidR="0040067A" w:rsidRPr="00EB0243">
        <w:rPr>
          <w:rFonts w:ascii="Arial" w:hAnsi="Arial" w:cs="Arial"/>
          <w:sz w:val="24"/>
          <w:szCs w:val="24"/>
        </w:rPr>
        <w:t xml:space="preserve"> and term-born controls</w:t>
      </w:r>
      <w:bookmarkEnd w:id="3"/>
      <w:r w:rsidR="0040067A" w:rsidRPr="00EB0243">
        <w:rPr>
          <w:rFonts w:ascii="Arial" w:hAnsi="Arial" w:cs="Arial"/>
          <w:sz w:val="24"/>
          <w:szCs w:val="24"/>
        </w:rPr>
        <w:t xml:space="preserve"> </w:t>
      </w:r>
    </w:p>
    <w:p w:rsidR="0040067A" w:rsidRDefault="0040067A" w:rsidP="00400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79"/>
      </w:tblGrid>
      <w:tr w:rsidR="0040067A" w:rsidTr="0040067A">
        <w:trPr>
          <w:jc w:val="center"/>
        </w:trPr>
        <w:tc>
          <w:tcPr>
            <w:tcW w:w="8079" w:type="dxa"/>
          </w:tcPr>
          <w:p w:rsidR="0040067A" w:rsidRDefault="006F05F7" w:rsidP="00400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01381D1" wp14:editId="2767FB5B">
                  <wp:extent cx="5114925" cy="37433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67A" w:rsidTr="0040067A">
        <w:trPr>
          <w:jc w:val="center"/>
        </w:trPr>
        <w:tc>
          <w:tcPr>
            <w:tcW w:w="8079" w:type="dxa"/>
          </w:tcPr>
          <w:p w:rsidR="00B42740" w:rsidRPr="00B42740" w:rsidRDefault="00B42740" w:rsidP="00B42740">
            <w:pPr>
              <w:rPr>
                <w:sz w:val="18"/>
                <w:szCs w:val="18"/>
              </w:rPr>
            </w:pPr>
            <w:r w:rsidRPr="00B42740">
              <w:rPr>
                <w:sz w:val="18"/>
                <w:szCs w:val="18"/>
              </w:rPr>
              <w:t xml:space="preserve">Variance function for </w:t>
            </w:r>
            <w:r w:rsidR="00746A5B">
              <w:rPr>
                <w:sz w:val="18"/>
                <w:szCs w:val="18"/>
              </w:rPr>
              <w:t>EP</w:t>
            </w:r>
            <w:r w:rsidR="006F05F7">
              <w:rPr>
                <w:sz w:val="18"/>
                <w:szCs w:val="18"/>
              </w:rPr>
              <w:t xml:space="preserve"> group</w:t>
            </w:r>
            <w:r w:rsidRPr="00B42740">
              <w:rPr>
                <w:rFonts w:eastAsiaTheme="minorEastAsia" w:cs="Arial"/>
                <w:sz w:val="18"/>
                <w:szCs w:val="18"/>
              </w:rPr>
              <w:t xml:space="preserve"> = 16.3</w:t>
            </w:r>
            <w:r w:rsidRPr="00B42740">
              <w:rPr>
                <w:rFonts w:eastAsiaTheme="minorEastAsia" w:cs="Arial"/>
                <w:sz w:val="18"/>
                <w:szCs w:val="18"/>
                <w:vertAlign w:val="superscript"/>
              </w:rPr>
              <w:t>2</w:t>
            </w:r>
            <w:r w:rsidRPr="00B42740">
              <w:rPr>
                <w:rFonts w:eastAsiaTheme="minorEastAsia" w:cs="Arial"/>
                <w:sz w:val="18"/>
                <w:szCs w:val="18"/>
              </w:rPr>
              <w:t xml:space="preserve"> + 2 x 2.7(Age-6)</w:t>
            </w:r>
            <w:r w:rsidRPr="00B42740">
              <w:rPr>
                <w:rFonts w:eastAsiaTheme="minorEastAsia" w:cs="Arial"/>
                <w:sz w:val="18"/>
                <w:szCs w:val="18"/>
                <w:vertAlign w:val="subscript"/>
              </w:rPr>
              <w:t xml:space="preserve"> </w:t>
            </w:r>
            <w:r w:rsidRPr="00B42740">
              <w:rPr>
                <w:rFonts w:eastAsiaTheme="minorEastAsia" w:cs="Arial"/>
                <w:sz w:val="18"/>
                <w:szCs w:val="18"/>
              </w:rPr>
              <w:t>+ 0.5</w:t>
            </w:r>
            <w:r w:rsidRPr="00B42740">
              <w:rPr>
                <w:rFonts w:eastAsiaTheme="minorEastAsia" w:cs="Arial"/>
                <w:sz w:val="18"/>
                <w:szCs w:val="18"/>
                <w:vertAlign w:val="superscript"/>
              </w:rPr>
              <w:t>2(</w:t>
            </w:r>
            <w:r w:rsidRPr="00B42740">
              <w:rPr>
                <w:rFonts w:eastAsiaTheme="minorEastAsia" w:cs="Arial"/>
                <w:sz w:val="18"/>
                <w:szCs w:val="18"/>
              </w:rPr>
              <w:t>Age-6)</w:t>
            </w:r>
            <w:r w:rsidRPr="00B42740">
              <w:rPr>
                <w:rFonts w:eastAsiaTheme="minorEastAsia" w:cs="Arial"/>
                <w:sz w:val="18"/>
                <w:szCs w:val="18"/>
                <w:vertAlign w:val="superscript"/>
              </w:rPr>
              <w:t>2</w:t>
            </w:r>
          </w:p>
          <w:p w:rsidR="00B42740" w:rsidRPr="00B42740" w:rsidRDefault="00B42740" w:rsidP="00B42740">
            <w:pPr>
              <w:rPr>
                <w:rFonts w:eastAsiaTheme="minorEastAsia" w:cs="Arial"/>
                <w:sz w:val="18"/>
                <w:szCs w:val="18"/>
                <w:vertAlign w:val="superscript"/>
              </w:rPr>
            </w:pPr>
            <w:r w:rsidRPr="00B42740">
              <w:rPr>
                <w:sz w:val="18"/>
                <w:szCs w:val="18"/>
              </w:rPr>
              <w:t>Varian</w:t>
            </w:r>
            <w:r w:rsidR="006F05F7">
              <w:rPr>
                <w:sz w:val="18"/>
                <w:szCs w:val="18"/>
              </w:rPr>
              <w:t>ce function for control group</w:t>
            </w:r>
            <w:r w:rsidRPr="00B42740">
              <w:rPr>
                <w:sz w:val="18"/>
                <w:szCs w:val="18"/>
              </w:rPr>
              <w:t xml:space="preserve"> </w:t>
            </w:r>
            <w:r w:rsidRPr="00B42740">
              <w:rPr>
                <w:rFonts w:eastAsiaTheme="minorEastAsia" w:cs="Arial"/>
                <w:sz w:val="18"/>
                <w:szCs w:val="18"/>
              </w:rPr>
              <w:t>= 10.6</w:t>
            </w:r>
            <w:r w:rsidRPr="00B42740">
              <w:rPr>
                <w:rFonts w:eastAsiaTheme="minorEastAsia" w:cs="Arial"/>
                <w:sz w:val="18"/>
                <w:szCs w:val="18"/>
                <w:vertAlign w:val="superscript"/>
              </w:rPr>
              <w:t>2</w:t>
            </w:r>
            <w:r w:rsidRPr="00B42740">
              <w:rPr>
                <w:rFonts w:eastAsiaTheme="minorEastAsia" w:cs="Arial"/>
                <w:sz w:val="18"/>
                <w:szCs w:val="18"/>
              </w:rPr>
              <w:t xml:space="preserve"> - 2 x 4.2(Age-6) + 0.7</w:t>
            </w:r>
            <w:r w:rsidRPr="00B42740">
              <w:rPr>
                <w:rFonts w:eastAsiaTheme="minorEastAsia" w:cs="Arial"/>
                <w:sz w:val="18"/>
                <w:szCs w:val="18"/>
                <w:vertAlign w:val="superscript"/>
              </w:rPr>
              <w:t>2</w:t>
            </w:r>
            <w:r w:rsidRPr="00B42740">
              <w:rPr>
                <w:rFonts w:eastAsiaTheme="minorEastAsia" w:cs="Arial"/>
                <w:sz w:val="18"/>
                <w:szCs w:val="18"/>
              </w:rPr>
              <w:t>(Age-6)</w:t>
            </w:r>
            <w:r w:rsidRPr="00B42740">
              <w:rPr>
                <w:rFonts w:eastAsiaTheme="minorEastAsia" w:cs="Arial"/>
                <w:sz w:val="18"/>
                <w:szCs w:val="18"/>
                <w:vertAlign w:val="superscript"/>
              </w:rPr>
              <w:t>2</w:t>
            </w:r>
          </w:p>
          <w:p w:rsidR="00B42740" w:rsidRPr="00B42740" w:rsidRDefault="00B42740" w:rsidP="00B42740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</w:t>
            </w:r>
            <w:r w:rsidR="00B206FD">
              <w:rPr>
                <w:rFonts w:cs="Times New Roman"/>
                <w:sz w:val="18"/>
                <w:szCs w:val="18"/>
              </w:rPr>
              <w:t xml:space="preserve">he variance in cognitive test </w:t>
            </w:r>
            <w:r w:rsidR="006729C6">
              <w:rPr>
                <w:rFonts w:cs="Times New Roman"/>
                <w:sz w:val="18"/>
                <w:szCs w:val="18"/>
              </w:rPr>
              <w:t>scores between EP</w:t>
            </w:r>
            <w:r w:rsidR="006F05F7">
              <w:rPr>
                <w:rFonts w:cs="Times New Roman"/>
                <w:sz w:val="18"/>
                <w:szCs w:val="18"/>
              </w:rPr>
              <w:t xml:space="preserve"> participants</w:t>
            </w:r>
            <w:r w:rsidRPr="00B42740">
              <w:rPr>
                <w:rFonts w:cs="Times New Roman"/>
                <w:sz w:val="18"/>
                <w:szCs w:val="18"/>
              </w:rPr>
              <w:t xml:space="preserve"> is hi</w:t>
            </w:r>
            <w:r w:rsidR="006F05F7">
              <w:rPr>
                <w:rFonts w:cs="Times New Roman"/>
                <w:sz w:val="18"/>
                <w:szCs w:val="18"/>
              </w:rPr>
              <w:t>gher than among controls</w:t>
            </w:r>
            <w:r w:rsidRPr="00B42740">
              <w:rPr>
                <w:rFonts w:cs="Times New Roman"/>
                <w:sz w:val="18"/>
                <w:szCs w:val="18"/>
              </w:rPr>
              <w:t xml:space="preserve"> and increases as they get older, whereas the between-individual variance dips slightly in the control group.  The mean difference in interce</w:t>
            </w:r>
            <w:r w:rsidR="006F05F7">
              <w:rPr>
                <w:rFonts w:cs="Times New Roman"/>
                <w:sz w:val="18"/>
                <w:szCs w:val="18"/>
              </w:rPr>
              <w:t>pts is lower in control participants</w:t>
            </w:r>
            <w:r w:rsidRPr="00B42740">
              <w:rPr>
                <w:rFonts w:cs="Times New Roman"/>
                <w:sz w:val="18"/>
                <w:szCs w:val="18"/>
              </w:rPr>
              <w:t xml:space="preserve"> (10.6 versus 16.3 points), but the mean difference in slopes is higher (0.7 versus 0.5 points). </w:t>
            </w:r>
          </w:p>
        </w:tc>
      </w:tr>
    </w:tbl>
    <w:p w:rsidR="0040067A" w:rsidRDefault="0040067A" w:rsidP="00400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67A" w:rsidRPr="0040067A" w:rsidRDefault="0040067A" w:rsidP="00400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8531F" w:rsidRPr="00EB0243" w:rsidRDefault="006729C6" w:rsidP="00C33EA2">
      <w:pPr>
        <w:pStyle w:val="Heading1"/>
        <w:rPr>
          <w:rFonts w:ascii="Arial" w:hAnsi="Arial" w:cs="Arial"/>
          <w:sz w:val="24"/>
          <w:szCs w:val="24"/>
        </w:rPr>
      </w:pPr>
      <w:bookmarkStart w:id="4" w:name="_Toc482717591"/>
      <w:r w:rsidRPr="00EB0243">
        <w:rPr>
          <w:rFonts w:ascii="Arial" w:hAnsi="Arial" w:cs="Arial"/>
          <w:sz w:val="24"/>
          <w:szCs w:val="24"/>
        </w:rPr>
        <w:lastRenderedPageBreak/>
        <w:t>T</w:t>
      </w:r>
      <w:r w:rsidR="00EB0243" w:rsidRPr="00EB0243">
        <w:rPr>
          <w:rFonts w:ascii="Arial" w:hAnsi="Arial" w:cs="Arial"/>
          <w:sz w:val="24"/>
          <w:szCs w:val="24"/>
        </w:rPr>
        <w:t xml:space="preserve">able </w:t>
      </w:r>
      <w:r w:rsidR="0064230C">
        <w:rPr>
          <w:rFonts w:ascii="Arial" w:hAnsi="Arial" w:cs="Arial"/>
          <w:sz w:val="24"/>
          <w:szCs w:val="24"/>
        </w:rPr>
        <w:t>S</w:t>
      </w:r>
      <w:r w:rsidR="00B7311B" w:rsidRPr="00EB0243">
        <w:rPr>
          <w:rFonts w:ascii="Arial" w:hAnsi="Arial" w:cs="Arial"/>
          <w:sz w:val="24"/>
          <w:szCs w:val="24"/>
        </w:rPr>
        <w:t>4</w:t>
      </w:r>
      <w:r w:rsidR="007A6307" w:rsidRPr="00EB0243">
        <w:rPr>
          <w:rFonts w:ascii="Arial" w:hAnsi="Arial" w:cs="Arial"/>
          <w:sz w:val="24"/>
          <w:szCs w:val="24"/>
        </w:rPr>
        <w:t>: Complete case analysis: e</w:t>
      </w:r>
      <w:r w:rsidR="008C1982" w:rsidRPr="00EB0243">
        <w:rPr>
          <w:rFonts w:ascii="Arial" w:hAnsi="Arial" w:cs="Arial"/>
          <w:sz w:val="24"/>
          <w:szCs w:val="24"/>
        </w:rPr>
        <w:t xml:space="preserve">stimated mean </w:t>
      </w:r>
      <w:r w:rsidR="0048531F" w:rsidRPr="00EB0243">
        <w:rPr>
          <w:rFonts w:ascii="Arial" w:hAnsi="Arial" w:cs="Arial"/>
          <w:sz w:val="24"/>
          <w:szCs w:val="24"/>
        </w:rPr>
        <w:t xml:space="preserve">differences in cognitive </w:t>
      </w:r>
      <w:r w:rsidR="00B206FD" w:rsidRPr="00EB0243">
        <w:rPr>
          <w:rFonts w:ascii="Arial" w:hAnsi="Arial" w:cs="Arial"/>
          <w:sz w:val="24"/>
          <w:szCs w:val="24"/>
        </w:rPr>
        <w:t xml:space="preserve">test </w:t>
      </w:r>
      <w:r w:rsidR="0048531F" w:rsidRPr="00EB0243">
        <w:rPr>
          <w:rFonts w:ascii="Arial" w:hAnsi="Arial" w:cs="Arial"/>
          <w:sz w:val="24"/>
          <w:szCs w:val="24"/>
        </w:rPr>
        <w:t xml:space="preserve">scores and 95% confidence intervals from mixed model analyses in </w:t>
      </w:r>
      <w:r w:rsidR="00B206FD" w:rsidRPr="00EB0243">
        <w:rPr>
          <w:rFonts w:ascii="Arial" w:hAnsi="Arial" w:cs="Arial"/>
          <w:sz w:val="24"/>
          <w:szCs w:val="24"/>
        </w:rPr>
        <w:t>extremely preterm participants</w:t>
      </w:r>
      <w:r w:rsidRPr="00EB0243">
        <w:rPr>
          <w:rFonts w:ascii="Arial" w:hAnsi="Arial" w:cs="Arial"/>
          <w:sz w:val="24"/>
          <w:szCs w:val="24"/>
        </w:rPr>
        <w:t xml:space="preserve"> and term-born</w:t>
      </w:r>
      <w:r w:rsidR="0048531F" w:rsidRPr="00EB0243">
        <w:rPr>
          <w:rFonts w:ascii="Arial" w:hAnsi="Arial" w:cs="Arial"/>
          <w:sz w:val="24"/>
          <w:szCs w:val="24"/>
        </w:rPr>
        <w:t xml:space="preserve"> controls</w:t>
      </w:r>
      <w:bookmarkEnd w:id="4"/>
    </w:p>
    <w:p w:rsidR="007A6307" w:rsidRDefault="007A6307" w:rsidP="0048531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"/>
        <w:gridCol w:w="993"/>
        <w:gridCol w:w="1559"/>
        <w:gridCol w:w="992"/>
        <w:gridCol w:w="1559"/>
        <w:gridCol w:w="993"/>
        <w:gridCol w:w="1559"/>
      </w:tblGrid>
      <w:tr w:rsidR="0048531F" w:rsidRPr="00EB0243" w:rsidTr="00C33EA2">
        <w:tc>
          <w:tcPr>
            <w:tcW w:w="105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31F" w:rsidRDefault="00B206FD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Extremely preterm participants</w:t>
            </w:r>
            <w:r w:rsidR="0048531F" w:rsidRPr="00EB0243">
              <w:rPr>
                <w:rFonts w:ascii="Arial" w:hAnsi="Arial" w:cs="Arial"/>
                <w:b/>
                <w:sz w:val="18"/>
                <w:szCs w:val="18"/>
              </w:rPr>
              <w:t xml:space="preserve"> and term-born classroom controls</w:t>
            </w:r>
          </w:p>
          <w:p w:rsidR="00EB0243" w:rsidRP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31F" w:rsidRPr="00EB0243" w:rsidTr="00C33EA2">
        <w:tc>
          <w:tcPr>
            <w:tcW w:w="2943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48531F" w:rsidRDefault="0048531F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0243" w:rsidRP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31F" w:rsidRPr="00EB0243" w:rsidRDefault="0048531F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 xml:space="preserve">Parameter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B0243" w:rsidRDefault="00EB0243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3A6C" w:rsidRPr="00EB0243" w:rsidRDefault="007C3A6C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Unadjusted model</w:t>
            </w:r>
          </w:p>
          <w:p w:rsidR="0048531F" w:rsidRPr="00EB0243" w:rsidRDefault="00A065DB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(n=167</w:t>
            </w:r>
            <w:r w:rsidR="0048531F" w:rsidRPr="00EB024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B0243" w:rsidRDefault="00EB0243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3A6C" w:rsidRPr="00EB0243" w:rsidRDefault="007C3A6C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Adjusted for sex</w:t>
            </w:r>
          </w:p>
          <w:p w:rsidR="0048531F" w:rsidRPr="00EB0243" w:rsidRDefault="00A065DB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(n=167</w:t>
            </w:r>
            <w:r w:rsidR="0048531F" w:rsidRPr="00EB024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EB0243" w:rsidRDefault="00EB0243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31F" w:rsidRPr="00EB0243" w:rsidRDefault="007C3A6C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Adjusted for maternal education</w:t>
            </w:r>
            <w:r w:rsidR="00CA473E" w:rsidRPr="00EB0243">
              <w:rPr>
                <w:rFonts w:ascii="Arial" w:hAnsi="Arial" w:cs="Arial"/>
                <w:b/>
                <w:sz w:val="18"/>
                <w:szCs w:val="18"/>
              </w:rPr>
              <w:t xml:space="preserve"> (n=163</w:t>
            </w:r>
            <w:r w:rsidR="0048531F" w:rsidRPr="00EB024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8531F" w:rsidRPr="00EB0243" w:rsidTr="00C33EA2">
        <w:tc>
          <w:tcPr>
            <w:tcW w:w="2943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1F" w:rsidRPr="00EB0243" w:rsidRDefault="0048531F" w:rsidP="00C33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Estimate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1F" w:rsidRPr="00EB0243" w:rsidRDefault="0048531F" w:rsidP="00EB0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1F" w:rsidRPr="00EB0243" w:rsidRDefault="0048531F" w:rsidP="00C33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Estimate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1F" w:rsidRPr="00EB0243" w:rsidRDefault="0048531F" w:rsidP="00EB0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95% 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1F" w:rsidRPr="00EB0243" w:rsidRDefault="0048531F" w:rsidP="00C33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Estimate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48531F" w:rsidRPr="00EB0243" w:rsidRDefault="0048531F" w:rsidP="00EB0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95% CI</w:t>
            </w:r>
          </w:p>
        </w:tc>
      </w:tr>
      <w:tr w:rsidR="0048531F" w:rsidRPr="00EB0243" w:rsidTr="00C33EA2">
        <w:tc>
          <w:tcPr>
            <w:tcW w:w="294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31F" w:rsidRP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Fixed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Constant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(105.1 to 111.3)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(104.8 to 112.2)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10</w:t>
            </w:r>
            <w:r w:rsidR="00C02315" w:rsidRPr="00EB0243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(10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3</w:t>
            </w:r>
            <w:r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="00C02315" w:rsidRPr="00EB0243">
              <w:rPr>
                <w:rFonts w:ascii="Arial" w:hAnsi="Arial" w:cs="Arial"/>
                <w:sz w:val="18"/>
                <w:szCs w:val="18"/>
              </w:rPr>
              <w:t>9</w:t>
            </w:r>
            <w:r w:rsidRPr="00EB0243">
              <w:rPr>
                <w:rFonts w:ascii="Arial" w:hAnsi="Arial" w:cs="Arial"/>
                <w:sz w:val="18"/>
                <w:szCs w:val="18"/>
              </w:rPr>
              <w:t xml:space="preserve"> to 111.</w:t>
            </w:r>
            <w:r w:rsidR="00C02315" w:rsidRPr="00EB0243">
              <w:rPr>
                <w:rFonts w:ascii="Arial" w:hAnsi="Arial" w:cs="Arial"/>
                <w:sz w:val="18"/>
                <w:szCs w:val="18"/>
              </w:rPr>
              <w:t>0</w:t>
            </w:r>
            <w:r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6729C6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EP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-23.9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(-28.1 to -19.8)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CA473E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-19</w:t>
            </w:r>
            <w:r w:rsidR="00A065DB"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Pr="00EB02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(-2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4</w:t>
            </w:r>
            <w:r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5</w:t>
            </w:r>
            <w:r w:rsidRPr="00EB0243">
              <w:rPr>
                <w:rFonts w:ascii="Arial" w:hAnsi="Arial" w:cs="Arial"/>
                <w:sz w:val="18"/>
                <w:szCs w:val="18"/>
              </w:rPr>
              <w:t xml:space="preserve"> to -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14</w:t>
            </w:r>
            <w:r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4</w:t>
            </w:r>
            <w:r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-2</w:t>
            </w:r>
            <w:r w:rsidR="00C02315" w:rsidRPr="00EB0243">
              <w:rPr>
                <w:rFonts w:ascii="Arial" w:hAnsi="Arial" w:cs="Arial"/>
                <w:sz w:val="18"/>
                <w:szCs w:val="18"/>
              </w:rPr>
              <w:t>3</w:t>
            </w:r>
            <w:r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="00C02315" w:rsidRPr="00EB02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(-2</w:t>
            </w:r>
            <w:r w:rsidR="00C02315" w:rsidRPr="00EB0243">
              <w:rPr>
                <w:rFonts w:ascii="Arial" w:hAnsi="Arial" w:cs="Arial"/>
                <w:sz w:val="18"/>
                <w:szCs w:val="18"/>
              </w:rPr>
              <w:t>7</w:t>
            </w:r>
            <w:r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="00C02315" w:rsidRPr="00EB0243">
              <w:rPr>
                <w:rFonts w:ascii="Arial" w:hAnsi="Arial" w:cs="Arial"/>
                <w:sz w:val="18"/>
                <w:szCs w:val="18"/>
              </w:rPr>
              <w:t>8</w:t>
            </w:r>
            <w:r w:rsidRPr="00EB0243">
              <w:rPr>
                <w:rFonts w:ascii="Arial" w:hAnsi="Arial" w:cs="Arial"/>
                <w:sz w:val="18"/>
                <w:szCs w:val="18"/>
              </w:rPr>
              <w:t xml:space="preserve"> to -</w:t>
            </w:r>
            <w:r w:rsidR="00C02315" w:rsidRPr="00EB0243">
              <w:rPr>
                <w:rFonts w:ascii="Arial" w:hAnsi="Arial" w:cs="Arial"/>
                <w:sz w:val="18"/>
                <w:szCs w:val="18"/>
              </w:rPr>
              <w:t>19</w:t>
            </w:r>
            <w:r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6</w:t>
            </w:r>
            <w:r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-0.4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(-0.6 to -0.2)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-0.4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(-0.6 to -0.2)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-0.4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(-0.6 to -0.2)</w:t>
            </w: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6729C6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EP</w:t>
            </w:r>
            <w:r w:rsidR="00A065DB" w:rsidRPr="00EB0243">
              <w:rPr>
                <w:rFonts w:ascii="Arial" w:hAnsi="Arial" w:cs="Arial"/>
                <w:sz w:val="18"/>
                <w:szCs w:val="18"/>
              </w:rPr>
              <w:t>*Age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(0.2 to 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(0.2 to 0.8)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CA473E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CA473E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(0.3</w:t>
            </w:r>
            <w:r w:rsidR="00A065DB" w:rsidRPr="00EB0243">
              <w:rPr>
                <w:rFonts w:ascii="Arial" w:hAnsi="Arial" w:cs="Arial"/>
                <w:sz w:val="18"/>
                <w:szCs w:val="18"/>
              </w:rPr>
              <w:t xml:space="preserve"> to 0.8)</w:t>
            </w:r>
          </w:p>
        </w:tc>
      </w:tr>
      <w:tr w:rsidR="0048531F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CA473E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CA473E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(-5.9 to 4.4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531F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48531F" w:rsidRPr="00EB0243" w:rsidRDefault="006729C6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EP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*Male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CA473E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-9.7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CA473E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(-17.1 to -2.4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531F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Higher maternal education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C02315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8531F" w:rsidRPr="00EB0243" w:rsidRDefault="00C02315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(-1.6 to 5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.9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8531F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48531F" w:rsidRP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Random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Within-individual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729C6" w:rsidRPr="00EB0243">
              <w:rPr>
                <w:rFonts w:ascii="Arial" w:hAnsi="Arial" w:cs="Arial"/>
                <w:sz w:val="18"/>
                <w:szCs w:val="18"/>
              </w:rPr>
              <w:t>EP</w:t>
            </w:r>
            <w:r w:rsidRPr="00EB02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0243">
              <w:rPr>
                <w:rFonts w:ascii="Arial" w:hAnsi="Arial" w:cs="Arial"/>
                <w:sz w:val="18"/>
                <w:szCs w:val="18"/>
              </w:rPr>
              <w:t>sd</w:t>
            </w:r>
            <w:proofErr w:type="spellEnd"/>
            <w:r w:rsidRPr="00EB024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(6.8 to 8.3)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6.9</w:t>
            </w:r>
            <w:r w:rsidRPr="00EB0243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8.4</w:t>
            </w:r>
            <w:r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(6.8 to 8.3)</w:t>
            </w: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    Control </w:t>
            </w:r>
            <w:proofErr w:type="spellStart"/>
            <w:r w:rsidRPr="00EB0243">
              <w:rPr>
                <w:rFonts w:ascii="Arial" w:hAnsi="Arial" w:cs="Arial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(4.0 to 5.8)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(4.0 to 5.8)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(4.0 to 5.8)</w:t>
            </w: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Between-individual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6729C6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    EP</w:t>
            </w:r>
            <w:r w:rsidR="00A065DB" w:rsidRPr="00EB0243">
              <w:rPr>
                <w:rFonts w:ascii="Arial" w:hAnsi="Arial" w:cs="Arial"/>
                <w:sz w:val="18"/>
                <w:szCs w:val="18"/>
              </w:rPr>
              <w:t xml:space="preserve"> Intercept </w:t>
            </w:r>
            <w:proofErr w:type="spellStart"/>
            <w:r w:rsidR="00A065DB" w:rsidRPr="00EB0243">
              <w:rPr>
                <w:rFonts w:ascii="Arial" w:hAnsi="Arial" w:cs="Arial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(12.4 to 16.6)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1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3</w:t>
            </w:r>
            <w:r w:rsidRPr="00EB0243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(1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1</w:t>
            </w:r>
            <w:r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5</w:t>
            </w:r>
            <w:r w:rsidRPr="00EB0243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5</w:t>
            </w:r>
            <w:r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4</w:t>
            </w:r>
            <w:r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1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(1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1</w:t>
            </w:r>
            <w:r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8</w:t>
            </w:r>
            <w:r w:rsidRPr="00EB0243">
              <w:rPr>
                <w:rFonts w:ascii="Arial" w:hAnsi="Arial" w:cs="Arial"/>
                <w:sz w:val="18"/>
                <w:szCs w:val="18"/>
              </w:rPr>
              <w:t xml:space="preserve"> to 1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5</w:t>
            </w:r>
            <w:r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9</w:t>
            </w:r>
            <w:r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6729C6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    EP</w:t>
            </w:r>
            <w:r w:rsidR="00A065DB" w:rsidRPr="00EB0243">
              <w:rPr>
                <w:rFonts w:ascii="Arial" w:hAnsi="Arial" w:cs="Arial"/>
                <w:sz w:val="18"/>
                <w:szCs w:val="18"/>
              </w:rPr>
              <w:t xml:space="preserve"> Slope </w:t>
            </w:r>
            <w:proofErr w:type="spellStart"/>
            <w:r w:rsidR="00A065DB" w:rsidRPr="00EB0243">
              <w:rPr>
                <w:rFonts w:ascii="Arial" w:hAnsi="Arial" w:cs="Arial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(0.5 to 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(0.5 to 0.8)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(0.5 to 0.8)</w:t>
            </w: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6729C6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    EP</w:t>
            </w:r>
            <w:r w:rsidR="00A065DB" w:rsidRPr="00EB02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065DB" w:rsidRPr="00EB0243">
              <w:rPr>
                <w:rFonts w:ascii="Arial" w:hAnsi="Arial" w:cs="Arial"/>
                <w:sz w:val="18"/>
                <w:szCs w:val="18"/>
              </w:rPr>
              <w:t>corr</w:t>
            </w:r>
            <w:proofErr w:type="spellEnd"/>
            <w:r w:rsidR="00A065DB" w:rsidRPr="00EB0243">
              <w:rPr>
                <w:rFonts w:ascii="Arial" w:hAnsi="Arial" w:cs="Arial"/>
                <w:sz w:val="18"/>
                <w:szCs w:val="18"/>
              </w:rPr>
              <w:t>(intercept, slope)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(-0.2 to 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(-0.2 to 0.4)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(-0.2 to 0.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3</w:t>
            </w:r>
            <w:r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    Control Intercept </w:t>
            </w:r>
            <w:proofErr w:type="spellStart"/>
            <w:r w:rsidRPr="00EB0243">
              <w:rPr>
                <w:rFonts w:ascii="Arial" w:hAnsi="Arial" w:cs="Arial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(8.5 to 13.3)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10.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(8.5 to 13.3)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10.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8.4</w:t>
            </w:r>
            <w:r w:rsidRPr="00EB0243">
              <w:rPr>
                <w:rFonts w:ascii="Arial" w:hAnsi="Arial" w:cs="Arial"/>
                <w:sz w:val="18"/>
                <w:szCs w:val="18"/>
              </w:rPr>
              <w:t xml:space="preserve"> to 13.</w:t>
            </w:r>
            <w:r w:rsidR="00CA473E" w:rsidRPr="00EB0243">
              <w:rPr>
                <w:rFonts w:ascii="Arial" w:hAnsi="Arial" w:cs="Arial"/>
                <w:sz w:val="18"/>
                <w:szCs w:val="18"/>
              </w:rPr>
              <w:t>2</w:t>
            </w:r>
            <w:r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    Control Slope </w:t>
            </w:r>
            <w:proofErr w:type="spellStart"/>
            <w:r w:rsidRPr="00EB0243">
              <w:rPr>
                <w:rFonts w:ascii="Arial" w:hAnsi="Arial" w:cs="Arial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(0.5 to 0.9)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(0.5 to 0.9)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(0.5 to 0.9)</w:t>
            </w:r>
          </w:p>
        </w:tc>
      </w:tr>
      <w:tr w:rsidR="00A065DB" w:rsidRPr="00EB0243" w:rsidTr="00C33EA2">
        <w:tc>
          <w:tcPr>
            <w:tcW w:w="2943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    Control </w:t>
            </w:r>
            <w:proofErr w:type="spellStart"/>
            <w:r w:rsidRPr="00EB0243">
              <w:rPr>
                <w:rFonts w:ascii="Arial" w:hAnsi="Arial" w:cs="Arial"/>
                <w:sz w:val="18"/>
                <w:szCs w:val="18"/>
              </w:rPr>
              <w:t>corr</w:t>
            </w:r>
            <w:proofErr w:type="spellEnd"/>
            <w:r w:rsidRPr="00EB0243">
              <w:rPr>
                <w:rFonts w:ascii="Arial" w:hAnsi="Arial" w:cs="Arial"/>
                <w:sz w:val="18"/>
                <w:szCs w:val="18"/>
              </w:rPr>
              <w:t>(intercept, slope)</w:t>
            </w:r>
          </w:p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65DB" w:rsidRPr="00EB0243" w:rsidRDefault="00A065DB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65DB" w:rsidRPr="00EB0243" w:rsidRDefault="00A065DB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(-0.7 to -0.2)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(-0.7 to -0.2)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65DB" w:rsidRPr="00EB0243" w:rsidRDefault="00A065DB" w:rsidP="00FC10B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</w:tcBorders>
          </w:tcPr>
          <w:p w:rsidR="00A065DB" w:rsidRPr="00EB0243" w:rsidRDefault="00A065DB" w:rsidP="00FC10B3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(-0.7 to -0.2)</w:t>
            </w:r>
          </w:p>
        </w:tc>
      </w:tr>
      <w:tr w:rsidR="0048531F" w:rsidRPr="00EB0243" w:rsidTr="00C33EA2">
        <w:tc>
          <w:tcPr>
            <w:tcW w:w="105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31F" w:rsidRDefault="00B206FD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Extremely preterm participants</w:t>
            </w:r>
            <w:r w:rsidR="0048531F" w:rsidRPr="00EB0243">
              <w:rPr>
                <w:rFonts w:ascii="Arial" w:hAnsi="Arial" w:cs="Arial"/>
                <w:b/>
                <w:sz w:val="18"/>
                <w:szCs w:val="18"/>
              </w:rPr>
              <w:t xml:space="preserve"> only</w:t>
            </w:r>
          </w:p>
          <w:p w:rsidR="00EB0243" w:rsidRP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48531F" w:rsidRDefault="0048531F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0243" w:rsidRP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31F" w:rsidRPr="00EB0243" w:rsidRDefault="0048531F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 xml:space="preserve">Parameter 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B0243" w:rsidRDefault="00EB0243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3A6C" w:rsidRPr="00EB0243" w:rsidRDefault="007C3A6C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Adjusted for neonatal</w:t>
            </w:r>
          </w:p>
          <w:p w:rsidR="0048531F" w:rsidRPr="00EB0243" w:rsidRDefault="007C3A6C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brain injury</w:t>
            </w:r>
            <w:r w:rsidR="00462195" w:rsidRPr="00EB0243">
              <w:rPr>
                <w:rFonts w:ascii="Arial" w:hAnsi="Arial" w:cs="Arial"/>
                <w:b/>
                <w:sz w:val="18"/>
                <w:szCs w:val="18"/>
              </w:rPr>
              <w:t xml:space="preserve"> (n=114</w:t>
            </w:r>
            <w:r w:rsidR="0048531F" w:rsidRPr="00EB024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B0243" w:rsidRDefault="00EB0243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31F" w:rsidRPr="00EB0243" w:rsidRDefault="007C3A6C" w:rsidP="00EB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Adjusted for gestational age</w:t>
            </w:r>
            <w:r w:rsidR="00462195" w:rsidRPr="00EB0243">
              <w:rPr>
                <w:rFonts w:ascii="Arial" w:hAnsi="Arial" w:cs="Arial"/>
                <w:b/>
                <w:sz w:val="18"/>
                <w:szCs w:val="18"/>
              </w:rPr>
              <w:t xml:space="preserve"> (n=114</w:t>
            </w:r>
            <w:r w:rsidR="0048531F" w:rsidRPr="00EB024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48531F" w:rsidRPr="00EB0243" w:rsidRDefault="0048531F" w:rsidP="00C33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1F" w:rsidRPr="00EB0243" w:rsidRDefault="0048531F" w:rsidP="00C33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Estimate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1F" w:rsidRPr="00EB0243" w:rsidRDefault="0048531F" w:rsidP="00EB0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1F" w:rsidRPr="00EB0243" w:rsidRDefault="0048531F" w:rsidP="00C33E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Estimate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1F" w:rsidRPr="00EB0243" w:rsidRDefault="0048531F" w:rsidP="00EB0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0243">
              <w:rPr>
                <w:rFonts w:ascii="Arial" w:hAnsi="Arial" w:cs="Arial"/>
                <w:b/>
                <w:sz w:val="18"/>
                <w:szCs w:val="18"/>
              </w:rPr>
              <w:t>95% CI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single" w:sz="4" w:space="0" w:color="auto"/>
              <w:bottom w:val="nil"/>
              <w:right w:val="nil"/>
            </w:tcBorders>
          </w:tcPr>
          <w:p w:rsid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31F" w:rsidRP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Fixed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Constant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(83.2 to 89.1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(83.5 to 90.7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</w:t>
            </w:r>
            <w:r w:rsidR="00462195" w:rsidRPr="00EB0243">
              <w:rPr>
                <w:rFonts w:ascii="Arial" w:hAnsi="Arial" w:cs="Arial"/>
                <w:sz w:val="18"/>
                <w:szCs w:val="18"/>
              </w:rPr>
              <w:t>-0.02</w:t>
            </w:r>
            <w:r w:rsidRPr="00EB0243">
              <w:rPr>
                <w:rFonts w:ascii="Arial" w:hAnsi="Arial" w:cs="Arial"/>
                <w:sz w:val="18"/>
                <w:szCs w:val="18"/>
              </w:rPr>
              <w:t xml:space="preserve"> to 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</w:t>
            </w:r>
            <w:r w:rsidR="00462195" w:rsidRPr="00EB0243">
              <w:rPr>
                <w:rFonts w:ascii="Arial" w:hAnsi="Arial" w:cs="Arial"/>
                <w:sz w:val="18"/>
                <w:szCs w:val="18"/>
              </w:rPr>
              <w:t>-0.02</w:t>
            </w:r>
            <w:r w:rsidRPr="00EB0243">
              <w:rPr>
                <w:rFonts w:ascii="Arial" w:hAnsi="Arial" w:cs="Arial"/>
                <w:sz w:val="18"/>
                <w:szCs w:val="18"/>
              </w:rPr>
              <w:t xml:space="preserve"> to 0.3)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Moderate-severe brain Injury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-10.1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(-16.9 to -3.2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Gestational age &lt;25 weeks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-6.6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(-12.0 to -1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.</w:t>
            </w:r>
            <w:r w:rsidRPr="00EB0243">
              <w:rPr>
                <w:rFonts w:ascii="Arial" w:hAnsi="Arial" w:cs="Arial"/>
                <w:sz w:val="18"/>
                <w:szCs w:val="18"/>
              </w:rPr>
              <w:t>2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48531F" w:rsidRPr="00EB0243" w:rsidRDefault="00EB0243" w:rsidP="00C33E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Random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Within-individual </w:t>
            </w:r>
            <w:proofErr w:type="spellStart"/>
            <w:r w:rsidRPr="00EB0243">
              <w:rPr>
                <w:rFonts w:ascii="Arial" w:hAnsi="Arial" w:cs="Arial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(6.9 to 8.3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364483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364483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(6.9 to 8.3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Between-individual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8531F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    Intercept </w:t>
            </w:r>
            <w:proofErr w:type="spellStart"/>
            <w:r w:rsidRPr="00EB0243">
              <w:rPr>
                <w:rFonts w:ascii="Arial" w:hAnsi="Arial" w:cs="Arial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(11.9 to 15.9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364483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364483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(12.1 to 16.1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    Slope </w:t>
            </w:r>
            <w:proofErr w:type="spellStart"/>
            <w:r w:rsidRPr="00EB0243">
              <w:rPr>
                <w:rFonts w:ascii="Arial" w:hAnsi="Arial" w:cs="Arial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462195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(0.5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 xml:space="preserve"> to 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364483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8531F" w:rsidRPr="00EB0243" w:rsidRDefault="00364483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(0.5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 xml:space="preserve"> to 0.8)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EB0243">
        <w:tc>
          <w:tcPr>
            <w:tcW w:w="2802" w:type="dxa"/>
            <w:tcBorders>
              <w:top w:val="nil"/>
              <w:bottom w:val="single" w:sz="12" w:space="0" w:color="auto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Pr="00EB0243">
              <w:rPr>
                <w:rFonts w:ascii="Arial" w:hAnsi="Arial" w:cs="Arial"/>
                <w:sz w:val="18"/>
                <w:szCs w:val="18"/>
              </w:rPr>
              <w:t>corr</w:t>
            </w:r>
            <w:proofErr w:type="spellEnd"/>
            <w:r w:rsidRPr="00EB0243">
              <w:rPr>
                <w:rFonts w:ascii="Arial" w:hAnsi="Arial" w:cs="Arial"/>
                <w:sz w:val="18"/>
                <w:szCs w:val="18"/>
              </w:rPr>
              <w:t>(intercept, slope)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531F" w:rsidRPr="00EB0243" w:rsidRDefault="00462195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</w:t>
            </w:r>
            <w:r w:rsidR="00462195" w:rsidRPr="00EB0243">
              <w:rPr>
                <w:rFonts w:ascii="Arial" w:hAnsi="Arial" w:cs="Arial"/>
                <w:sz w:val="18"/>
                <w:szCs w:val="18"/>
              </w:rPr>
              <w:t>-0.2 to 0.4</w:t>
            </w:r>
            <w:r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531F" w:rsidRPr="00EB0243" w:rsidRDefault="00364483" w:rsidP="00C33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531F" w:rsidRPr="00EB0243" w:rsidRDefault="00364483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(-0.2 to 0.4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48531F" w:rsidRPr="00EB0243" w:rsidRDefault="0048531F" w:rsidP="00C33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31F" w:rsidRPr="00EB0243" w:rsidTr="00C33EA2"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B0243" w:rsidRDefault="00EB0243" w:rsidP="00C33EA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31F" w:rsidRPr="00EB0243" w:rsidRDefault="006729C6" w:rsidP="00C33EA2">
            <w:pPr>
              <w:rPr>
                <w:rFonts w:ascii="Arial" w:hAnsi="Arial" w:cs="Arial"/>
                <w:sz w:val="18"/>
                <w:szCs w:val="18"/>
              </w:rPr>
            </w:pPr>
            <w:r w:rsidRPr="00EB0243">
              <w:rPr>
                <w:rFonts w:ascii="Arial" w:hAnsi="Arial" w:cs="Arial"/>
                <w:sz w:val="18"/>
                <w:szCs w:val="18"/>
              </w:rPr>
              <w:t>Abbreviations: EP</w:t>
            </w:r>
            <w:r w:rsidR="0048531F" w:rsidRPr="00EB0243">
              <w:rPr>
                <w:rFonts w:ascii="Arial" w:hAnsi="Arial" w:cs="Arial"/>
                <w:sz w:val="18"/>
                <w:szCs w:val="18"/>
              </w:rPr>
              <w:t xml:space="preserve"> extremely preterm; </w:t>
            </w:r>
            <w:proofErr w:type="spellStart"/>
            <w:r w:rsidR="0048531F" w:rsidRPr="00EB0243">
              <w:rPr>
                <w:rFonts w:ascii="Arial" w:hAnsi="Arial" w:cs="Arial"/>
                <w:sz w:val="18"/>
                <w:szCs w:val="18"/>
              </w:rPr>
              <w:t>sd</w:t>
            </w:r>
            <w:proofErr w:type="spellEnd"/>
            <w:r w:rsidR="0048531F" w:rsidRPr="00EB0243">
              <w:rPr>
                <w:rFonts w:ascii="Arial" w:hAnsi="Arial" w:cs="Arial"/>
                <w:sz w:val="18"/>
                <w:szCs w:val="18"/>
              </w:rPr>
              <w:t xml:space="preserve"> standard deviation; </w:t>
            </w:r>
            <w:proofErr w:type="spellStart"/>
            <w:r w:rsidR="0048531F" w:rsidRPr="00EB0243">
              <w:rPr>
                <w:rFonts w:ascii="Arial" w:hAnsi="Arial" w:cs="Arial"/>
                <w:sz w:val="18"/>
                <w:szCs w:val="18"/>
              </w:rPr>
              <w:t>corr</w:t>
            </w:r>
            <w:proofErr w:type="spellEnd"/>
            <w:r w:rsidR="0048531F" w:rsidRPr="00EB0243">
              <w:rPr>
                <w:rFonts w:ascii="Arial" w:hAnsi="Arial" w:cs="Arial"/>
                <w:sz w:val="18"/>
                <w:szCs w:val="18"/>
              </w:rPr>
              <w:t xml:space="preserve"> correlation; CI confidence interval. </w:t>
            </w:r>
          </w:p>
        </w:tc>
      </w:tr>
    </w:tbl>
    <w:p w:rsidR="0048531F" w:rsidRDefault="0048531F" w:rsidP="0048531F">
      <w:pPr>
        <w:rPr>
          <w:rFonts w:ascii="Times New Roman" w:hAnsi="Times New Roman" w:cs="Times New Roman"/>
          <w:b/>
          <w:sz w:val="24"/>
        </w:rPr>
      </w:pPr>
    </w:p>
    <w:p w:rsidR="0048531F" w:rsidRDefault="0048531F" w:rsidP="0048531F">
      <w:pPr>
        <w:rPr>
          <w:rFonts w:ascii="Times New Roman" w:hAnsi="Times New Roman" w:cs="Times New Roman"/>
          <w:b/>
          <w:sz w:val="24"/>
        </w:rPr>
      </w:pPr>
    </w:p>
    <w:p w:rsidR="007A6307" w:rsidRDefault="007A6307" w:rsidP="0048531F">
      <w:pPr>
        <w:rPr>
          <w:rFonts w:ascii="Times New Roman" w:hAnsi="Times New Roman" w:cs="Times New Roman"/>
          <w:b/>
          <w:sz w:val="24"/>
        </w:rPr>
      </w:pPr>
    </w:p>
    <w:p w:rsidR="007A6307" w:rsidRDefault="007A6307" w:rsidP="0048531F">
      <w:pPr>
        <w:rPr>
          <w:rFonts w:ascii="Times New Roman" w:hAnsi="Times New Roman" w:cs="Times New Roman"/>
          <w:b/>
          <w:sz w:val="24"/>
        </w:rPr>
      </w:pPr>
    </w:p>
    <w:p w:rsidR="007A6307" w:rsidRDefault="007A6307" w:rsidP="0048531F">
      <w:pPr>
        <w:rPr>
          <w:rFonts w:ascii="Times New Roman" w:hAnsi="Times New Roman" w:cs="Times New Roman"/>
          <w:b/>
          <w:sz w:val="24"/>
        </w:rPr>
      </w:pPr>
    </w:p>
    <w:p w:rsidR="00FC10B3" w:rsidRDefault="00FC10B3" w:rsidP="0048531F">
      <w:pPr>
        <w:rPr>
          <w:rFonts w:ascii="Times New Roman" w:hAnsi="Times New Roman" w:cs="Times New Roman"/>
          <w:b/>
          <w:sz w:val="24"/>
        </w:rPr>
      </w:pPr>
    </w:p>
    <w:p w:rsidR="007A6307" w:rsidRPr="00EB0243" w:rsidRDefault="00EB0243" w:rsidP="00C33EA2">
      <w:pPr>
        <w:pStyle w:val="Heading1"/>
        <w:rPr>
          <w:rFonts w:ascii="Arial" w:hAnsi="Arial" w:cs="Arial"/>
          <w:sz w:val="24"/>
          <w:szCs w:val="24"/>
        </w:rPr>
      </w:pPr>
      <w:bookmarkStart w:id="5" w:name="_Toc482717592"/>
      <w:r w:rsidRPr="00EB0243">
        <w:rPr>
          <w:rFonts w:ascii="Arial" w:hAnsi="Arial" w:cs="Arial"/>
          <w:sz w:val="24"/>
          <w:szCs w:val="24"/>
        </w:rPr>
        <w:lastRenderedPageBreak/>
        <w:t xml:space="preserve">Figure </w:t>
      </w:r>
      <w:r w:rsidR="0064230C">
        <w:rPr>
          <w:rFonts w:ascii="Arial" w:hAnsi="Arial" w:cs="Arial"/>
          <w:sz w:val="24"/>
          <w:szCs w:val="24"/>
        </w:rPr>
        <w:t>S</w:t>
      </w:r>
      <w:r w:rsidR="0040067A" w:rsidRPr="00EB0243">
        <w:rPr>
          <w:rFonts w:ascii="Arial" w:hAnsi="Arial" w:cs="Arial"/>
          <w:sz w:val="24"/>
          <w:szCs w:val="24"/>
        </w:rPr>
        <w:t>2</w:t>
      </w:r>
      <w:r w:rsidR="007A6307" w:rsidRPr="00EB0243">
        <w:rPr>
          <w:rFonts w:ascii="Arial" w:hAnsi="Arial" w:cs="Arial"/>
          <w:sz w:val="24"/>
          <w:szCs w:val="24"/>
        </w:rPr>
        <w:t>: Complete case analysis: observed and predicted mean cognitive</w:t>
      </w:r>
      <w:r w:rsidR="00B206FD" w:rsidRPr="00EB0243">
        <w:rPr>
          <w:rFonts w:ascii="Arial" w:hAnsi="Arial" w:cs="Arial"/>
          <w:sz w:val="24"/>
          <w:szCs w:val="24"/>
        </w:rPr>
        <w:t xml:space="preserve"> test</w:t>
      </w:r>
      <w:r w:rsidR="007A6307" w:rsidRPr="00EB0243">
        <w:rPr>
          <w:rFonts w:ascii="Arial" w:hAnsi="Arial" w:cs="Arial"/>
          <w:sz w:val="24"/>
          <w:szCs w:val="24"/>
        </w:rPr>
        <w:t xml:space="preserve"> scores plus 95% confidence interva</w:t>
      </w:r>
      <w:r w:rsidR="00B206FD" w:rsidRPr="00EB0243">
        <w:rPr>
          <w:rFonts w:ascii="Arial" w:hAnsi="Arial" w:cs="Arial"/>
          <w:sz w:val="24"/>
          <w:szCs w:val="24"/>
        </w:rPr>
        <w:t>ls in extremely preterm participants</w:t>
      </w:r>
      <w:r w:rsidR="006729C6" w:rsidRPr="00EB0243">
        <w:rPr>
          <w:rFonts w:ascii="Arial" w:hAnsi="Arial" w:cs="Arial"/>
          <w:sz w:val="24"/>
          <w:szCs w:val="24"/>
        </w:rPr>
        <w:t xml:space="preserve"> and term-born</w:t>
      </w:r>
      <w:r w:rsidR="007A6307" w:rsidRPr="00EB0243">
        <w:rPr>
          <w:rFonts w:ascii="Arial" w:hAnsi="Arial" w:cs="Arial"/>
          <w:sz w:val="24"/>
          <w:szCs w:val="24"/>
        </w:rPr>
        <w:t xml:space="preserve"> controls at age 2.5, 6, 11 and 19</w:t>
      </w:r>
      <w:bookmarkStart w:id="6" w:name="_GoBack"/>
      <w:bookmarkEnd w:id="5"/>
      <w:bookmarkEnd w:id="6"/>
    </w:p>
    <w:p w:rsidR="007A6307" w:rsidRDefault="007A6307" w:rsidP="007A6307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29"/>
        <w:gridCol w:w="5430"/>
      </w:tblGrid>
      <w:tr w:rsidR="007A6307" w:rsidTr="009A6BE0">
        <w:trPr>
          <w:jc w:val="center"/>
        </w:trPr>
        <w:tc>
          <w:tcPr>
            <w:tcW w:w="5429" w:type="dxa"/>
          </w:tcPr>
          <w:p w:rsidR="007A6307" w:rsidRDefault="00637753" w:rsidP="00C33EA2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3432150" cy="2505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:rsidR="007A6307" w:rsidRDefault="008F085E" w:rsidP="00C33EA2">
            <w:pPr>
              <w:jc w:val="center"/>
              <w:rPr>
                <w:b/>
              </w:rPr>
            </w:pPr>
            <w:r w:rsidRPr="008F085E">
              <w:rPr>
                <w:b/>
                <w:noProof/>
                <w:lang w:val="en-US"/>
              </w:rPr>
              <w:drawing>
                <wp:inline distT="0" distB="0" distL="0" distR="0">
                  <wp:extent cx="3422288" cy="2505075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834" cy="250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307" w:rsidTr="009A6BE0">
        <w:trPr>
          <w:jc w:val="center"/>
        </w:trPr>
        <w:tc>
          <w:tcPr>
            <w:tcW w:w="5429" w:type="dxa"/>
          </w:tcPr>
          <w:p w:rsidR="007A6307" w:rsidRDefault="00637753" w:rsidP="00C33EA2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3432150" cy="2505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:rsidR="007A6307" w:rsidRDefault="008F085E" w:rsidP="00C33EA2">
            <w:pPr>
              <w:jc w:val="center"/>
              <w:rPr>
                <w:b/>
              </w:rPr>
            </w:pPr>
            <w:r w:rsidRPr="008F085E">
              <w:rPr>
                <w:b/>
                <w:noProof/>
                <w:lang w:val="en-US"/>
              </w:rPr>
              <w:drawing>
                <wp:inline distT="0" distB="0" distL="0" distR="0">
                  <wp:extent cx="3422288" cy="2505075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156" cy="2506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307" w:rsidTr="009A6BE0">
        <w:trPr>
          <w:jc w:val="center"/>
        </w:trPr>
        <w:tc>
          <w:tcPr>
            <w:tcW w:w="5429" w:type="dxa"/>
          </w:tcPr>
          <w:p w:rsidR="007A6307" w:rsidRDefault="003C1993" w:rsidP="00C33EA2">
            <w:pPr>
              <w:jc w:val="center"/>
              <w:rPr>
                <w:b/>
              </w:rPr>
            </w:pPr>
            <w:r w:rsidRPr="003C1993">
              <w:rPr>
                <w:b/>
                <w:noProof/>
                <w:lang w:val="en-US"/>
              </w:rPr>
              <w:drawing>
                <wp:inline distT="0" distB="0" distL="0" distR="0">
                  <wp:extent cx="3364165" cy="246253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015" cy="246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:rsidR="007A6307" w:rsidRDefault="003C1993" w:rsidP="009A6BE0">
            <w:pPr>
              <w:ind w:left="86"/>
              <w:jc w:val="center"/>
              <w:rPr>
                <w:b/>
              </w:rPr>
            </w:pPr>
            <w:r w:rsidRPr="003C1993">
              <w:rPr>
                <w:b/>
                <w:noProof/>
                <w:lang w:val="en-US"/>
              </w:rPr>
              <w:drawing>
                <wp:inline distT="0" distB="0" distL="0" distR="0">
                  <wp:extent cx="3362325" cy="246118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435" cy="246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307" w:rsidTr="009A6BE0">
        <w:trPr>
          <w:jc w:val="center"/>
        </w:trPr>
        <w:tc>
          <w:tcPr>
            <w:tcW w:w="5429" w:type="dxa"/>
          </w:tcPr>
          <w:p w:rsidR="007A6307" w:rsidRDefault="00AB3048" w:rsidP="00C33EA2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3419100" cy="2495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1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:rsidR="007A6307" w:rsidRDefault="005F3B17" w:rsidP="00C33EA2">
            <w:pPr>
              <w:jc w:val="center"/>
              <w:rPr>
                <w:b/>
              </w:rPr>
            </w:pPr>
            <w:r w:rsidRPr="005F3B17">
              <w:rPr>
                <w:b/>
                <w:noProof/>
                <w:lang w:val="en-US"/>
              </w:rPr>
              <w:drawing>
                <wp:inline distT="0" distB="0" distL="0" distR="0">
                  <wp:extent cx="3405505" cy="2492790"/>
                  <wp:effectExtent l="0" t="0" r="4445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639" cy="24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307" w:rsidTr="009A6BE0">
        <w:trPr>
          <w:jc w:val="center"/>
        </w:trPr>
        <w:tc>
          <w:tcPr>
            <w:tcW w:w="5429" w:type="dxa"/>
          </w:tcPr>
          <w:p w:rsidR="007A6307" w:rsidRDefault="00AB3048" w:rsidP="00C33EA2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3406050" cy="248602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0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:rsidR="007A6307" w:rsidRDefault="001D3288" w:rsidP="00C33EA2">
            <w:pPr>
              <w:rPr>
                <w:b/>
              </w:rPr>
            </w:pPr>
            <w:r w:rsidRPr="001D3288">
              <w:rPr>
                <w:b/>
                <w:noProof/>
                <w:lang w:val="en-US"/>
              </w:rPr>
              <w:drawing>
                <wp:inline distT="0" distB="0" distL="0" distR="0">
                  <wp:extent cx="3396263" cy="24860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395" cy="248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307" w:rsidRPr="00C8553E" w:rsidRDefault="007A6307" w:rsidP="007A6307">
      <w:pPr>
        <w:spacing w:after="0" w:line="240" w:lineRule="auto"/>
        <w:rPr>
          <w:b/>
        </w:rPr>
      </w:pPr>
      <w:r w:rsidRPr="0099254B">
        <w:rPr>
          <w:b/>
        </w:rPr>
        <w:t xml:space="preserve"> </w:t>
      </w:r>
    </w:p>
    <w:p w:rsidR="007A6307" w:rsidRDefault="007A6307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0067A" w:rsidRDefault="0040067A" w:rsidP="0048531F">
      <w:pPr>
        <w:rPr>
          <w:rFonts w:ascii="Times New Roman" w:hAnsi="Times New Roman" w:cs="Times New Roman"/>
          <w:b/>
          <w:sz w:val="24"/>
        </w:rPr>
      </w:pPr>
    </w:p>
    <w:p w:rsidR="0048531F" w:rsidRDefault="0048531F" w:rsidP="0048531F">
      <w:pPr>
        <w:rPr>
          <w:rFonts w:ascii="Times New Roman" w:hAnsi="Times New Roman" w:cs="Times New Roman"/>
          <w:b/>
          <w:sz w:val="24"/>
        </w:rPr>
      </w:pPr>
    </w:p>
    <w:p w:rsidR="0040067A" w:rsidRPr="00E25E4D" w:rsidRDefault="0040067A" w:rsidP="0048531F">
      <w:pPr>
        <w:rPr>
          <w:rFonts w:ascii="Times New Roman" w:hAnsi="Times New Roman" w:cs="Times New Roman"/>
          <w:b/>
          <w:sz w:val="24"/>
        </w:rPr>
      </w:pPr>
    </w:p>
    <w:sectPr w:rsidR="0040067A" w:rsidRPr="00E25E4D" w:rsidSect="0048531F">
      <w:footerReference w:type="default" r:id="rId19"/>
      <w:pgSz w:w="11907" w:h="16839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D6" w:rsidRDefault="007023D6" w:rsidP="002B4910">
      <w:pPr>
        <w:spacing w:after="0" w:line="240" w:lineRule="auto"/>
      </w:pPr>
      <w:r>
        <w:separator/>
      </w:r>
    </w:p>
  </w:endnote>
  <w:endnote w:type="continuationSeparator" w:id="0">
    <w:p w:rsidR="007023D6" w:rsidRDefault="007023D6" w:rsidP="002B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979459"/>
      <w:docPartObj>
        <w:docPartGallery w:val="Page Numbers (Bottom of Page)"/>
        <w:docPartUnique/>
      </w:docPartObj>
    </w:sdtPr>
    <w:sdtEndPr/>
    <w:sdtContent>
      <w:sdt>
        <w:sdtPr>
          <w:id w:val="-1393878079"/>
          <w:docPartObj>
            <w:docPartGallery w:val="Page Numbers (Top of Page)"/>
            <w:docPartUnique/>
          </w:docPartObj>
        </w:sdtPr>
        <w:sdtEndPr/>
        <w:sdtContent>
          <w:p w:rsidR="008101A6" w:rsidRDefault="008101A6" w:rsidP="00C03758">
            <w:pPr>
              <w:pStyle w:val="Footer"/>
              <w:ind w:firstLine="1440"/>
              <w:jc w:val="right"/>
            </w:pPr>
            <w:r>
              <w:t xml:space="preserve">                                                                                                                               </w:t>
            </w:r>
          </w:p>
          <w:p w:rsidR="008101A6" w:rsidRDefault="008101A6" w:rsidP="00E25E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34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34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01A6" w:rsidRDefault="00810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D6" w:rsidRDefault="007023D6" w:rsidP="002B4910">
      <w:pPr>
        <w:spacing w:after="0" w:line="240" w:lineRule="auto"/>
      </w:pPr>
      <w:r>
        <w:separator/>
      </w:r>
    </w:p>
  </w:footnote>
  <w:footnote w:type="continuationSeparator" w:id="0">
    <w:p w:rsidR="007023D6" w:rsidRDefault="007023D6" w:rsidP="002B4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140"/>
    <w:multiLevelType w:val="hybridMultilevel"/>
    <w:tmpl w:val="9F1450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64588"/>
    <w:multiLevelType w:val="hybridMultilevel"/>
    <w:tmpl w:val="2CBE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44C92"/>
    <w:multiLevelType w:val="multilevel"/>
    <w:tmpl w:val="929CFD78"/>
    <w:lvl w:ilvl="0">
      <w:start w:val="1"/>
      <w:numFmt w:val="decimal"/>
      <w:lvlText w:val="%1"/>
      <w:lvlJc w:val="left"/>
      <w:pPr>
        <w:ind w:left="199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ediatrics (superscript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x9a0apwizx2xfestsqvv0xddt0asrvxpsza&quot;&gt;Systematic Review Papers&lt;record-ids&gt;&lt;item&gt;9&lt;/item&gt;&lt;item&gt;13&lt;/item&gt;&lt;item&gt;15&lt;/item&gt;&lt;item&gt;27&lt;/item&gt;&lt;item&gt;31&lt;/item&gt;&lt;item&gt;34&lt;/item&gt;&lt;item&gt;37&lt;/item&gt;&lt;item&gt;42&lt;/item&gt;&lt;item&gt;46&lt;/item&gt;&lt;item&gt;55&lt;/item&gt;&lt;item&gt;63&lt;/item&gt;&lt;item&gt;65&lt;/item&gt;&lt;item&gt;66&lt;/item&gt;&lt;item&gt;67&lt;/item&gt;&lt;item&gt;70&lt;/item&gt;&lt;item&gt;73&lt;/item&gt;&lt;item&gt;76&lt;/item&gt;&lt;item&gt;78&lt;/item&gt;&lt;item&gt;81&lt;/item&gt;&lt;item&gt;83&lt;/item&gt;&lt;item&gt;84&lt;/item&gt;&lt;item&gt;88&lt;/item&gt;&lt;item&gt;89&lt;/item&gt;&lt;item&gt;90&lt;/item&gt;&lt;item&gt;91&lt;/item&gt;&lt;item&gt;93&lt;/item&gt;&lt;item&gt;94&lt;/item&gt;&lt;item&gt;97&lt;/item&gt;&lt;item&gt;98&lt;/item&gt;&lt;item&gt;103&lt;/item&gt;&lt;item&gt;104&lt;/item&gt;&lt;item&gt;105&lt;/item&gt;&lt;item&gt;107&lt;/item&gt;&lt;item&gt;109&lt;/item&gt;&lt;item&gt;110&lt;/item&gt;&lt;item&gt;113&lt;/item&gt;&lt;item&gt;114&lt;/item&gt;&lt;item&gt;115&lt;/item&gt;&lt;item&gt;116&lt;/item&gt;&lt;item&gt;118&lt;/item&gt;&lt;item&gt;119&lt;/item&gt;&lt;item&gt;123&lt;/item&gt;&lt;item&gt;124&lt;/item&gt;&lt;item&gt;125&lt;/item&gt;&lt;item&gt;126&lt;/item&gt;&lt;item&gt;128&lt;/item&gt;&lt;item&gt;133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8&lt;/item&gt;&lt;item&gt;149&lt;/item&gt;&lt;item&gt;150&lt;/item&gt;&lt;item&gt;151&lt;/item&gt;&lt;item&gt;152&lt;/item&gt;&lt;item&gt;153&lt;/item&gt;&lt;item&gt;154&lt;/item&gt;&lt;item&gt;155&lt;/item&gt;&lt;item&gt;157&lt;/item&gt;&lt;item&gt;158&lt;/item&gt;&lt;item&gt;159&lt;/item&gt;&lt;item&gt;161&lt;/item&gt;&lt;item&gt;163&lt;/item&gt;&lt;item&gt;164&lt;/item&gt;&lt;item&gt;166&lt;/item&gt;&lt;item&gt;167&lt;/item&gt;&lt;item&gt;168&lt;/item&gt;&lt;item&gt;169&lt;/item&gt;&lt;item&gt;211&lt;/item&gt;&lt;/record-ids&gt;&lt;/item&gt;&lt;/Libraries&gt;"/>
  </w:docVars>
  <w:rsids>
    <w:rsidRoot w:val="00683211"/>
    <w:rsid w:val="0000227A"/>
    <w:rsid w:val="000022D4"/>
    <w:rsid w:val="00011884"/>
    <w:rsid w:val="000170CB"/>
    <w:rsid w:val="00025628"/>
    <w:rsid w:val="00032241"/>
    <w:rsid w:val="00036285"/>
    <w:rsid w:val="0004212E"/>
    <w:rsid w:val="0004427C"/>
    <w:rsid w:val="000478FB"/>
    <w:rsid w:val="00047A24"/>
    <w:rsid w:val="000572CA"/>
    <w:rsid w:val="00065B78"/>
    <w:rsid w:val="00067756"/>
    <w:rsid w:val="00070344"/>
    <w:rsid w:val="00071512"/>
    <w:rsid w:val="00072558"/>
    <w:rsid w:val="000750D1"/>
    <w:rsid w:val="0007772C"/>
    <w:rsid w:val="0008094F"/>
    <w:rsid w:val="0008607B"/>
    <w:rsid w:val="00086311"/>
    <w:rsid w:val="000A161C"/>
    <w:rsid w:val="000A7A26"/>
    <w:rsid w:val="000A7CD6"/>
    <w:rsid w:val="000B5616"/>
    <w:rsid w:val="000D2B2D"/>
    <w:rsid w:val="000D4838"/>
    <w:rsid w:val="000E2744"/>
    <w:rsid w:val="000E2775"/>
    <w:rsid w:val="000E44ED"/>
    <w:rsid w:val="000E4FEA"/>
    <w:rsid w:val="000E69CD"/>
    <w:rsid w:val="000F36D6"/>
    <w:rsid w:val="000F4B9B"/>
    <w:rsid w:val="001051BC"/>
    <w:rsid w:val="00106271"/>
    <w:rsid w:val="001068F6"/>
    <w:rsid w:val="00116D72"/>
    <w:rsid w:val="001210DB"/>
    <w:rsid w:val="001243A7"/>
    <w:rsid w:val="00126769"/>
    <w:rsid w:val="0013018B"/>
    <w:rsid w:val="00132CAF"/>
    <w:rsid w:val="00137EFD"/>
    <w:rsid w:val="00144E03"/>
    <w:rsid w:val="00150D9C"/>
    <w:rsid w:val="00155B46"/>
    <w:rsid w:val="00160A0C"/>
    <w:rsid w:val="00162ADF"/>
    <w:rsid w:val="00164711"/>
    <w:rsid w:val="0016635B"/>
    <w:rsid w:val="001710CE"/>
    <w:rsid w:val="00174220"/>
    <w:rsid w:val="00175C11"/>
    <w:rsid w:val="001775B3"/>
    <w:rsid w:val="00177DFC"/>
    <w:rsid w:val="0018562F"/>
    <w:rsid w:val="0019032E"/>
    <w:rsid w:val="001903AF"/>
    <w:rsid w:val="001922C8"/>
    <w:rsid w:val="00192AF9"/>
    <w:rsid w:val="00194F0E"/>
    <w:rsid w:val="001A0293"/>
    <w:rsid w:val="001A04A5"/>
    <w:rsid w:val="001A3CEC"/>
    <w:rsid w:val="001A485C"/>
    <w:rsid w:val="001B3BF4"/>
    <w:rsid w:val="001B4A23"/>
    <w:rsid w:val="001C3C35"/>
    <w:rsid w:val="001C470B"/>
    <w:rsid w:val="001D3288"/>
    <w:rsid w:val="001D46F2"/>
    <w:rsid w:val="001E094A"/>
    <w:rsid w:val="001F1ADC"/>
    <w:rsid w:val="001F22A2"/>
    <w:rsid w:val="001F35A3"/>
    <w:rsid w:val="00200EF8"/>
    <w:rsid w:val="0020260F"/>
    <w:rsid w:val="002033CB"/>
    <w:rsid w:val="0020577B"/>
    <w:rsid w:val="002153E5"/>
    <w:rsid w:val="00220714"/>
    <w:rsid w:val="00224EBB"/>
    <w:rsid w:val="0023222D"/>
    <w:rsid w:val="002325FB"/>
    <w:rsid w:val="00235143"/>
    <w:rsid w:val="00236EB4"/>
    <w:rsid w:val="00240E70"/>
    <w:rsid w:val="0024633F"/>
    <w:rsid w:val="002607FC"/>
    <w:rsid w:val="00263E26"/>
    <w:rsid w:val="00274B27"/>
    <w:rsid w:val="00276B9E"/>
    <w:rsid w:val="00280375"/>
    <w:rsid w:val="002832E8"/>
    <w:rsid w:val="00287497"/>
    <w:rsid w:val="00290497"/>
    <w:rsid w:val="002932AE"/>
    <w:rsid w:val="0029651A"/>
    <w:rsid w:val="002A00DC"/>
    <w:rsid w:val="002A1642"/>
    <w:rsid w:val="002A2D97"/>
    <w:rsid w:val="002A3232"/>
    <w:rsid w:val="002A3D14"/>
    <w:rsid w:val="002A58E4"/>
    <w:rsid w:val="002B18C4"/>
    <w:rsid w:val="002B1D53"/>
    <w:rsid w:val="002B4910"/>
    <w:rsid w:val="002B6587"/>
    <w:rsid w:val="002C3F5D"/>
    <w:rsid w:val="002C4395"/>
    <w:rsid w:val="002C728A"/>
    <w:rsid w:val="002C7693"/>
    <w:rsid w:val="002D0510"/>
    <w:rsid w:val="002D2F23"/>
    <w:rsid w:val="002D7AEF"/>
    <w:rsid w:val="002E08A6"/>
    <w:rsid w:val="002E2035"/>
    <w:rsid w:val="002F2CB1"/>
    <w:rsid w:val="002F5BEB"/>
    <w:rsid w:val="00300D6E"/>
    <w:rsid w:val="003032CC"/>
    <w:rsid w:val="00305EE2"/>
    <w:rsid w:val="00306892"/>
    <w:rsid w:val="00310080"/>
    <w:rsid w:val="003111FD"/>
    <w:rsid w:val="00311D79"/>
    <w:rsid w:val="00315BCA"/>
    <w:rsid w:val="00320920"/>
    <w:rsid w:val="00320F6F"/>
    <w:rsid w:val="00321248"/>
    <w:rsid w:val="00322086"/>
    <w:rsid w:val="00331486"/>
    <w:rsid w:val="0033190B"/>
    <w:rsid w:val="00334D60"/>
    <w:rsid w:val="00345111"/>
    <w:rsid w:val="00353B9C"/>
    <w:rsid w:val="00364483"/>
    <w:rsid w:val="00367DCC"/>
    <w:rsid w:val="003729A6"/>
    <w:rsid w:val="003816F0"/>
    <w:rsid w:val="0038197A"/>
    <w:rsid w:val="00387BA6"/>
    <w:rsid w:val="00387CAE"/>
    <w:rsid w:val="00390C3A"/>
    <w:rsid w:val="00390F5B"/>
    <w:rsid w:val="003925AA"/>
    <w:rsid w:val="003950AC"/>
    <w:rsid w:val="003974CD"/>
    <w:rsid w:val="003A3EE0"/>
    <w:rsid w:val="003A4B92"/>
    <w:rsid w:val="003A76ED"/>
    <w:rsid w:val="003B02CC"/>
    <w:rsid w:val="003B3033"/>
    <w:rsid w:val="003B3AFE"/>
    <w:rsid w:val="003B6993"/>
    <w:rsid w:val="003C14D7"/>
    <w:rsid w:val="003C18A4"/>
    <w:rsid w:val="003C1993"/>
    <w:rsid w:val="003D0F98"/>
    <w:rsid w:val="003E70AC"/>
    <w:rsid w:val="003F29DD"/>
    <w:rsid w:val="003F6AB7"/>
    <w:rsid w:val="0040067A"/>
    <w:rsid w:val="004032EC"/>
    <w:rsid w:val="0040729E"/>
    <w:rsid w:val="004079E2"/>
    <w:rsid w:val="00411B4C"/>
    <w:rsid w:val="00422F9A"/>
    <w:rsid w:val="004237D1"/>
    <w:rsid w:val="00427F55"/>
    <w:rsid w:val="00430E6D"/>
    <w:rsid w:val="0043139C"/>
    <w:rsid w:val="004404B4"/>
    <w:rsid w:val="00447D7D"/>
    <w:rsid w:val="0045144A"/>
    <w:rsid w:val="00454C3C"/>
    <w:rsid w:val="00462195"/>
    <w:rsid w:val="00467095"/>
    <w:rsid w:val="00472103"/>
    <w:rsid w:val="00473409"/>
    <w:rsid w:val="00476CFF"/>
    <w:rsid w:val="00477CAA"/>
    <w:rsid w:val="00484E3B"/>
    <w:rsid w:val="004851F3"/>
    <w:rsid w:val="0048531F"/>
    <w:rsid w:val="00485BC5"/>
    <w:rsid w:val="00490370"/>
    <w:rsid w:val="004960E4"/>
    <w:rsid w:val="004976DA"/>
    <w:rsid w:val="004A1606"/>
    <w:rsid w:val="004C0CBD"/>
    <w:rsid w:val="004C4674"/>
    <w:rsid w:val="004C6728"/>
    <w:rsid w:val="004D0A67"/>
    <w:rsid w:val="004D334D"/>
    <w:rsid w:val="004D4752"/>
    <w:rsid w:val="004D4DA0"/>
    <w:rsid w:val="004D7495"/>
    <w:rsid w:val="004E2552"/>
    <w:rsid w:val="004E2C30"/>
    <w:rsid w:val="004E317C"/>
    <w:rsid w:val="004F771A"/>
    <w:rsid w:val="00501CE3"/>
    <w:rsid w:val="00505120"/>
    <w:rsid w:val="0050567B"/>
    <w:rsid w:val="00507339"/>
    <w:rsid w:val="00514466"/>
    <w:rsid w:val="0051700C"/>
    <w:rsid w:val="00522283"/>
    <w:rsid w:val="00523502"/>
    <w:rsid w:val="00527843"/>
    <w:rsid w:val="00531156"/>
    <w:rsid w:val="00531323"/>
    <w:rsid w:val="00531346"/>
    <w:rsid w:val="005420FC"/>
    <w:rsid w:val="005435C5"/>
    <w:rsid w:val="00545C5C"/>
    <w:rsid w:val="00561CBE"/>
    <w:rsid w:val="00562D32"/>
    <w:rsid w:val="0056440A"/>
    <w:rsid w:val="00564478"/>
    <w:rsid w:val="00566ACB"/>
    <w:rsid w:val="00571069"/>
    <w:rsid w:val="0057204A"/>
    <w:rsid w:val="00574D48"/>
    <w:rsid w:val="00585EC8"/>
    <w:rsid w:val="005878AB"/>
    <w:rsid w:val="00594490"/>
    <w:rsid w:val="005A0D7C"/>
    <w:rsid w:val="005A1DFE"/>
    <w:rsid w:val="005A479A"/>
    <w:rsid w:val="005A4A9D"/>
    <w:rsid w:val="005A4EA5"/>
    <w:rsid w:val="005B6297"/>
    <w:rsid w:val="005C0343"/>
    <w:rsid w:val="005C4971"/>
    <w:rsid w:val="005C4C1B"/>
    <w:rsid w:val="005C7A1B"/>
    <w:rsid w:val="005D64C2"/>
    <w:rsid w:val="005D6ACD"/>
    <w:rsid w:val="005E0357"/>
    <w:rsid w:val="005E03CF"/>
    <w:rsid w:val="005E3009"/>
    <w:rsid w:val="005E314D"/>
    <w:rsid w:val="005F3B17"/>
    <w:rsid w:val="005F3B49"/>
    <w:rsid w:val="005F6455"/>
    <w:rsid w:val="00602D28"/>
    <w:rsid w:val="006046F9"/>
    <w:rsid w:val="00610F7A"/>
    <w:rsid w:val="00613905"/>
    <w:rsid w:val="006176C1"/>
    <w:rsid w:val="00617700"/>
    <w:rsid w:val="00637753"/>
    <w:rsid w:val="0064230C"/>
    <w:rsid w:val="0064245F"/>
    <w:rsid w:val="006478ED"/>
    <w:rsid w:val="00660BE1"/>
    <w:rsid w:val="00661452"/>
    <w:rsid w:val="00663800"/>
    <w:rsid w:val="006642F4"/>
    <w:rsid w:val="00671445"/>
    <w:rsid w:val="006729C6"/>
    <w:rsid w:val="0067554D"/>
    <w:rsid w:val="00676DCD"/>
    <w:rsid w:val="006823F0"/>
    <w:rsid w:val="00682CD8"/>
    <w:rsid w:val="00683211"/>
    <w:rsid w:val="00692549"/>
    <w:rsid w:val="00694E64"/>
    <w:rsid w:val="006A1221"/>
    <w:rsid w:val="006A15AE"/>
    <w:rsid w:val="006A1875"/>
    <w:rsid w:val="006A33BE"/>
    <w:rsid w:val="006A5E93"/>
    <w:rsid w:val="006C23E0"/>
    <w:rsid w:val="006C2AC3"/>
    <w:rsid w:val="006C32DF"/>
    <w:rsid w:val="006C4A3F"/>
    <w:rsid w:val="006D1D42"/>
    <w:rsid w:val="006D5FA8"/>
    <w:rsid w:val="006D6A13"/>
    <w:rsid w:val="006E55BE"/>
    <w:rsid w:val="006F05F7"/>
    <w:rsid w:val="006F43AD"/>
    <w:rsid w:val="006F46E3"/>
    <w:rsid w:val="006F6F4D"/>
    <w:rsid w:val="007023D6"/>
    <w:rsid w:val="00711309"/>
    <w:rsid w:val="00715F56"/>
    <w:rsid w:val="00722985"/>
    <w:rsid w:val="0072791C"/>
    <w:rsid w:val="0073137A"/>
    <w:rsid w:val="00734783"/>
    <w:rsid w:val="00735375"/>
    <w:rsid w:val="00742385"/>
    <w:rsid w:val="007429AD"/>
    <w:rsid w:val="007466C7"/>
    <w:rsid w:val="00746A5B"/>
    <w:rsid w:val="00746E4A"/>
    <w:rsid w:val="00750D33"/>
    <w:rsid w:val="00752DF6"/>
    <w:rsid w:val="007531CD"/>
    <w:rsid w:val="007540C6"/>
    <w:rsid w:val="00755E94"/>
    <w:rsid w:val="007600A5"/>
    <w:rsid w:val="007666F6"/>
    <w:rsid w:val="00770FCB"/>
    <w:rsid w:val="00775E00"/>
    <w:rsid w:val="00777A41"/>
    <w:rsid w:val="007911B3"/>
    <w:rsid w:val="007A4A97"/>
    <w:rsid w:val="007A4C35"/>
    <w:rsid w:val="007A6307"/>
    <w:rsid w:val="007A73C2"/>
    <w:rsid w:val="007B076D"/>
    <w:rsid w:val="007B2B92"/>
    <w:rsid w:val="007B4E50"/>
    <w:rsid w:val="007B6D8F"/>
    <w:rsid w:val="007C3A6C"/>
    <w:rsid w:val="007D05CB"/>
    <w:rsid w:val="007D1967"/>
    <w:rsid w:val="007D44EF"/>
    <w:rsid w:val="007D50AF"/>
    <w:rsid w:val="007D6D0A"/>
    <w:rsid w:val="007E0B7B"/>
    <w:rsid w:val="007E48D9"/>
    <w:rsid w:val="007F0E8B"/>
    <w:rsid w:val="007F1302"/>
    <w:rsid w:val="007F7733"/>
    <w:rsid w:val="0080070B"/>
    <w:rsid w:val="00803F65"/>
    <w:rsid w:val="0080451C"/>
    <w:rsid w:val="008101A6"/>
    <w:rsid w:val="0082066D"/>
    <w:rsid w:val="00822CDB"/>
    <w:rsid w:val="008300DC"/>
    <w:rsid w:val="00830D4B"/>
    <w:rsid w:val="00831246"/>
    <w:rsid w:val="008343B0"/>
    <w:rsid w:val="00834EF3"/>
    <w:rsid w:val="0083732E"/>
    <w:rsid w:val="008424BD"/>
    <w:rsid w:val="008432C9"/>
    <w:rsid w:val="00844530"/>
    <w:rsid w:val="00852483"/>
    <w:rsid w:val="008544B7"/>
    <w:rsid w:val="00860E15"/>
    <w:rsid w:val="00863E3D"/>
    <w:rsid w:val="0086727E"/>
    <w:rsid w:val="0086784F"/>
    <w:rsid w:val="00867AA4"/>
    <w:rsid w:val="00873622"/>
    <w:rsid w:val="008750E9"/>
    <w:rsid w:val="00880FC2"/>
    <w:rsid w:val="00892BE8"/>
    <w:rsid w:val="00894E00"/>
    <w:rsid w:val="00896201"/>
    <w:rsid w:val="008A3231"/>
    <w:rsid w:val="008B1AA7"/>
    <w:rsid w:val="008B20ED"/>
    <w:rsid w:val="008B283E"/>
    <w:rsid w:val="008B3889"/>
    <w:rsid w:val="008B4DB0"/>
    <w:rsid w:val="008B5E5A"/>
    <w:rsid w:val="008B6B1A"/>
    <w:rsid w:val="008B7443"/>
    <w:rsid w:val="008C1982"/>
    <w:rsid w:val="008C214E"/>
    <w:rsid w:val="008C380A"/>
    <w:rsid w:val="008C4338"/>
    <w:rsid w:val="008C59E8"/>
    <w:rsid w:val="008D79FD"/>
    <w:rsid w:val="008D7B19"/>
    <w:rsid w:val="008D7B35"/>
    <w:rsid w:val="008E1EFD"/>
    <w:rsid w:val="008E76B6"/>
    <w:rsid w:val="008F085E"/>
    <w:rsid w:val="008F1841"/>
    <w:rsid w:val="008F29B3"/>
    <w:rsid w:val="008F5C15"/>
    <w:rsid w:val="0090207C"/>
    <w:rsid w:val="0090793D"/>
    <w:rsid w:val="00914E14"/>
    <w:rsid w:val="00915D88"/>
    <w:rsid w:val="00916391"/>
    <w:rsid w:val="00930660"/>
    <w:rsid w:val="00933B96"/>
    <w:rsid w:val="00937E50"/>
    <w:rsid w:val="00940BFC"/>
    <w:rsid w:val="00944DBC"/>
    <w:rsid w:val="00947AF8"/>
    <w:rsid w:val="00950D1B"/>
    <w:rsid w:val="009538DB"/>
    <w:rsid w:val="0095689A"/>
    <w:rsid w:val="00957227"/>
    <w:rsid w:val="009603E6"/>
    <w:rsid w:val="0096494A"/>
    <w:rsid w:val="0096742C"/>
    <w:rsid w:val="009700E4"/>
    <w:rsid w:val="00971477"/>
    <w:rsid w:val="00975827"/>
    <w:rsid w:val="0098388A"/>
    <w:rsid w:val="0098706E"/>
    <w:rsid w:val="00990CF5"/>
    <w:rsid w:val="0099412D"/>
    <w:rsid w:val="00996320"/>
    <w:rsid w:val="009A29A4"/>
    <w:rsid w:val="009A48F0"/>
    <w:rsid w:val="009A6BE0"/>
    <w:rsid w:val="009B056B"/>
    <w:rsid w:val="009B3156"/>
    <w:rsid w:val="009B3F25"/>
    <w:rsid w:val="009B45D4"/>
    <w:rsid w:val="009B5A3C"/>
    <w:rsid w:val="009B7A5E"/>
    <w:rsid w:val="009C291F"/>
    <w:rsid w:val="009D0102"/>
    <w:rsid w:val="009E2CA7"/>
    <w:rsid w:val="009E5779"/>
    <w:rsid w:val="009F02C9"/>
    <w:rsid w:val="009F5424"/>
    <w:rsid w:val="009F57AC"/>
    <w:rsid w:val="009F5A54"/>
    <w:rsid w:val="00A00A21"/>
    <w:rsid w:val="00A0139D"/>
    <w:rsid w:val="00A04587"/>
    <w:rsid w:val="00A065DB"/>
    <w:rsid w:val="00A06C15"/>
    <w:rsid w:val="00A113E5"/>
    <w:rsid w:val="00A12551"/>
    <w:rsid w:val="00A14770"/>
    <w:rsid w:val="00A24201"/>
    <w:rsid w:val="00A301BE"/>
    <w:rsid w:val="00A4300A"/>
    <w:rsid w:val="00A44CC4"/>
    <w:rsid w:val="00A470A8"/>
    <w:rsid w:val="00A52408"/>
    <w:rsid w:val="00A54F8A"/>
    <w:rsid w:val="00A5690C"/>
    <w:rsid w:val="00A57624"/>
    <w:rsid w:val="00A64DD0"/>
    <w:rsid w:val="00A70FA1"/>
    <w:rsid w:val="00A718E1"/>
    <w:rsid w:val="00A74E23"/>
    <w:rsid w:val="00A75D55"/>
    <w:rsid w:val="00A7686F"/>
    <w:rsid w:val="00A776FF"/>
    <w:rsid w:val="00A80B9D"/>
    <w:rsid w:val="00A919C4"/>
    <w:rsid w:val="00A93E86"/>
    <w:rsid w:val="00A940F4"/>
    <w:rsid w:val="00A94AF5"/>
    <w:rsid w:val="00AA7641"/>
    <w:rsid w:val="00AB3048"/>
    <w:rsid w:val="00AC1D9F"/>
    <w:rsid w:val="00AC6680"/>
    <w:rsid w:val="00AD1D46"/>
    <w:rsid w:val="00AD3FF2"/>
    <w:rsid w:val="00AD62C0"/>
    <w:rsid w:val="00AD7E04"/>
    <w:rsid w:val="00AE1426"/>
    <w:rsid w:val="00AE611B"/>
    <w:rsid w:val="00AF0868"/>
    <w:rsid w:val="00AF0972"/>
    <w:rsid w:val="00AF7C0B"/>
    <w:rsid w:val="00B00F11"/>
    <w:rsid w:val="00B032C1"/>
    <w:rsid w:val="00B07976"/>
    <w:rsid w:val="00B206FD"/>
    <w:rsid w:val="00B2627B"/>
    <w:rsid w:val="00B30FC8"/>
    <w:rsid w:val="00B319A9"/>
    <w:rsid w:val="00B32256"/>
    <w:rsid w:val="00B32E76"/>
    <w:rsid w:val="00B33754"/>
    <w:rsid w:val="00B34CA4"/>
    <w:rsid w:val="00B4268D"/>
    <w:rsid w:val="00B42740"/>
    <w:rsid w:val="00B47A04"/>
    <w:rsid w:val="00B52910"/>
    <w:rsid w:val="00B56226"/>
    <w:rsid w:val="00B60253"/>
    <w:rsid w:val="00B604ED"/>
    <w:rsid w:val="00B617A5"/>
    <w:rsid w:val="00B6413A"/>
    <w:rsid w:val="00B64733"/>
    <w:rsid w:val="00B7311B"/>
    <w:rsid w:val="00B75BBE"/>
    <w:rsid w:val="00B82975"/>
    <w:rsid w:val="00B8682A"/>
    <w:rsid w:val="00B95D81"/>
    <w:rsid w:val="00BA4F15"/>
    <w:rsid w:val="00BA5B42"/>
    <w:rsid w:val="00BA6FEC"/>
    <w:rsid w:val="00BA731D"/>
    <w:rsid w:val="00BB115F"/>
    <w:rsid w:val="00BB1E9B"/>
    <w:rsid w:val="00BB628D"/>
    <w:rsid w:val="00BC101E"/>
    <w:rsid w:val="00BC1540"/>
    <w:rsid w:val="00BC2EE1"/>
    <w:rsid w:val="00BC5EFC"/>
    <w:rsid w:val="00BC7E46"/>
    <w:rsid w:val="00BD4961"/>
    <w:rsid w:val="00BD61A3"/>
    <w:rsid w:val="00BE032E"/>
    <w:rsid w:val="00BE2FEE"/>
    <w:rsid w:val="00BE3453"/>
    <w:rsid w:val="00BE3998"/>
    <w:rsid w:val="00BE4150"/>
    <w:rsid w:val="00BE570D"/>
    <w:rsid w:val="00BF0167"/>
    <w:rsid w:val="00BF072C"/>
    <w:rsid w:val="00C02315"/>
    <w:rsid w:val="00C02B3B"/>
    <w:rsid w:val="00C03758"/>
    <w:rsid w:val="00C03DC0"/>
    <w:rsid w:val="00C12676"/>
    <w:rsid w:val="00C16A8C"/>
    <w:rsid w:val="00C21A8E"/>
    <w:rsid w:val="00C2354F"/>
    <w:rsid w:val="00C254E2"/>
    <w:rsid w:val="00C256B4"/>
    <w:rsid w:val="00C3157E"/>
    <w:rsid w:val="00C318B8"/>
    <w:rsid w:val="00C3288C"/>
    <w:rsid w:val="00C33EA2"/>
    <w:rsid w:val="00C40A93"/>
    <w:rsid w:val="00C4262D"/>
    <w:rsid w:val="00C43F01"/>
    <w:rsid w:val="00C46F82"/>
    <w:rsid w:val="00C55BAB"/>
    <w:rsid w:val="00C577B5"/>
    <w:rsid w:val="00C60117"/>
    <w:rsid w:val="00C6593E"/>
    <w:rsid w:val="00C66804"/>
    <w:rsid w:val="00C74B15"/>
    <w:rsid w:val="00C76C5E"/>
    <w:rsid w:val="00C77D48"/>
    <w:rsid w:val="00C8106E"/>
    <w:rsid w:val="00C83055"/>
    <w:rsid w:val="00C86904"/>
    <w:rsid w:val="00C874D1"/>
    <w:rsid w:val="00C91079"/>
    <w:rsid w:val="00C95293"/>
    <w:rsid w:val="00C96C90"/>
    <w:rsid w:val="00CA125E"/>
    <w:rsid w:val="00CA369A"/>
    <w:rsid w:val="00CA42E2"/>
    <w:rsid w:val="00CA473E"/>
    <w:rsid w:val="00CA4C98"/>
    <w:rsid w:val="00CA6B37"/>
    <w:rsid w:val="00CB69CB"/>
    <w:rsid w:val="00CC3512"/>
    <w:rsid w:val="00CC7C95"/>
    <w:rsid w:val="00CD5167"/>
    <w:rsid w:val="00CD5E49"/>
    <w:rsid w:val="00CE07BE"/>
    <w:rsid w:val="00CE58ED"/>
    <w:rsid w:val="00CE6BB8"/>
    <w:rsid w:val="00CF0D17"/>
    <w:rsid w:val="00CF65C0"/>
    <w:rsid w:val="00CF6FE8"/>
    <w:rsid w:val="00CF7828"/>
    <w:rsid w:val="00D0108F"/>
    <w:rsid w:val="00D0238C"/>
    <w:rsid w:val="00D04CE0"/>
    <w:rsid w:val="00D06A8D"/>
    <w:rsid w:val="00D11075"/>
    <w:rsid w:val="00D11BDA"/>
    <w:rsid w:val="00D141A1"/>
    <w:rsid w:val="00D2469F"/>
    <w:rsid w:val="00D31766"/>
    <w:rsid w:val="00D31D8D"/>
    <w:rsid w:val="00D340A4"/>
    <w:rsid w:val="00D367FE"/>
    <w:rsid w:val="00D369C6"/>
    <w:rsid w:val="00D414A8"/>
    <w:rsid w:val="00D45714"/>
    <w:rsid w:val="00D469D9"/>
    <w:rsid w:val="00D6029A"/>
    <w:rsid w:val="00D60995"/>
    <w:rsid w:val="00D626F8"/>
    <w:rsid w:val="00D66290"/>
    <w:rsid w:val="00D67647"/>
    <w:rsid w:val="00D73BD3"/>
    <w:rsid w:val="00D73F0C"/>
    <w:rsid w:val="00D741A5"/>
    <w:rsid w:val="00D76872"/>
    <w:rsid w:val="00D77BB9"/>
    <w:rsid w:val="00D85801"/>
    <w:rsid w:val="00D90C76"/>
    <w:rsid w:val="00D90CD0"/>
    <w:rsid w:val="00D97EDD"/>
    <w:rsid w:val="00DA0F4B"/>
    <w:rsid w:val="00DA7988"/>
    <w:rsid w:val="00DB04FA"/>
    <w:rsid w:val="00DB123C"/>
    <w:rsid w:val="00DB3C4E"/>
    <w:rsid w:val="00DB4603"/>
    <w:rsid w:val="00DB481D"/>
    <w:rsid w:val="00DB5CA1"/>
    <w:rsid w:val="00DB7DEB"/>
    <w:rsid w:val="00DC1C91"/>
    <w:rsid w:val="00DC20AA"/>
    <w:rsid w:val="00DC7420"/>
    <w:rsid w:val="00DC7B95"/>
    <w:rsid w:val="00DE6B5D"/>
    <w:rsid w:val="00DF3A83"/>
    <w:rsid w:val="00DF473B"/>
    <w:rsid w:val="00E01676"/>
    <w:rsid w:val="00E0510C"/>
    <w:rsid w:val="00E055A5"/>
    <w:rsid w:val="00E07062"/>
    <w:rsid w:val="00E10C6E"/>
    <w:rsid w:val="00E11A7A"/>
    <w:rsid w:val="00E128BD"/>
    <w:rsid w:val="00E23037"/>
    <w:rsid w:val="00E248D6"/>
    <w:rsid w:val="00E251CC"/>
    <w:rsid w:val="00E25E4D"/>
    <w:rsid w:val="00E268E9"/>
    <w:rsid w:val="00E312D1"/>
    <w:rsid w:val="00E332BC"/>
    <w:rsid w:val="00E332C8"/>
    <w:rsid w:val="00E34A49"/>
    <w:rsid w:val="00E35728"/>
    <w:rsid w:val="00E37482"/>
    <w:rsid w:val="00E40D9D"/>
    <w:rsid w:val="00E4529D"/>
    <w:rsid w:val="00E5208E"/>
    <w:rsid w:val="00E66984"/>
    <w:rsid w:val="00E7038F"/>
    <w:rsid w:val="00E7226E"/>
    <w:rsid w:val="00E805FE"/>
    <w:rsid w:val="00E83A4E"/>
    <w:rsid w:val="00E8480C"/>
    <w:rsid w:val="00E85A18"/>
    <w:rsid w:val="00E85C9D"/>
    <w:rsid w:val="00E90952"/>
    <w:rsid w:val="00E91770"/>
    <w:rsid w:val="00E95D6A"/>
    <w:rsid w:val="00EA3EAB"/>
    <w:rsid w:val="00EB0243"/>
    <w:rsid w:val="00EC704C"/>
    <w:rsid w:val="00ED7D99"/>
    <w:rsid w:val="00EE1039"/>
    <w:rsid w:val="00EE5111"/>
    <w:rsid w:val="00F01A25"/>
    <w:rsid w:val="00F10BB9"/>
    <w:rsid w:val="00F12BD7"/>
    <w:rsid w:val="00F134E5"/>
    <w:rsid w:val="00F15767"/>
    <w:rsid w:val="00F17331"/>
    <w:rsid w:val="00F209FE"/>
    <w:rsid w:val="00F24877"/>
    <w:rsid w:val="00F2759F"/>
    <w:rsid w:val="00F3541D"/>
    <w:rsid w:val="00F3628F"/>
    <w:rsid w:val="00F418C0"/>
    <w:rsid w:val="00F4721D"/>
    <w:rsid w:val="00F51FEB"/>
    <w:rsid w:val="00F526E1"/>
    <w:rsid w:val="00F533C8"/>
    <w:rsid w:val="00F5420A"/>
    <w:rsid w:val="00F56688"/>
    <w:rsid w:val="00F6142C"/>
    <w:rsid w:val="00F66015"/>
    <w:rsid w:val="00F74E64"/>
    <w:rsid w:val="00F80C1E"/>
    <w:rsid w:val="00F82074"/>
    <w:rsid w:val="00F84495"/>
    <w:rsid w:val="00F90806"/>
    <w:rsid w:val="00F90933"/>
    <w:rsid w:val="00F93071"/>
    <w:rsid w:val="00F968A5"/>
    <w:rsid w:val="00F97E13"/>
    <w:rsid w:val="00FB05DD"/>
    <w:rsid w:val="00FB0E5C"/>
    <w:rsid w:val="00FB1A0A"/>
    <w:rsid w:val="00FB6F5A"/>
    <w:rsid w:val="00FC0A38"/>
    <w:rsid w:val="00FC10B3"/>
    <w:rsid w:val="00FC3583"/>
    <w:rsid w:val="00FC59D2"/>
    <w:rsid w:val="00FC5FDB"/>
    <w:rsid w:val="00FC7303"/>
    <w:rsid w:val="00FC7B4A"/>
    <w:rsid w:val="00FD08FA"/>
    <w:rsid w:val="00FD1843"/>
    <w:rsid w:val="00FD23C0"/>
    <w:rsid w:val="00FD4148"/>
    <w:rsid w:val="00FD4538"/>
    <w:rsid w:val="00FD5613"/>
    <w:rsid w:val="00FE1570"/>
    <w:rsid w:val="00FF024C"/>
    <w:rsid w:val="00FF0655"/>
    <w:rsid w:val="00FF61B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8EAA27F-5920-4BC6-BCFC-2E3A115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33EA2"/>
    <w:pPr>
      <w:widowControl w:val="0"/>
      <w:kinsoku w:val="0"/>
      <w:spacing w:after="0" w:line="240" w:lineRule="auto"/>
      <w:contextualSpacing/>
      <w:outlineLvl w:val="0"/>
    </w:pPr>
    <w:rPr>
      <w:rFonts w:ascii="Times New Roman" w:eastAsia="Times New Roman" w:hAnsi="Times New Roman" w:cs="Times New Roman"/>
      <w:b/>
      <w:bCs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910"/>
    <w:pPr>
      <w:widowControl w:val="0"/>
      <w:numPr>
        <w:ilvl w:val="1"/>
        <w:numId w:val="1"/>
      </w:numPr>
      <w:kinsoku w:val="0"/>
      <w:spacing w:before="240" w:after="120" w:line="240" w:lineRule="auto"/>
      <w:ind w:left="578" w:hanging="578"/>
      <w:jc w:val="both"/>
      <w:outlineLvl w:val="1"/>
    </w:pPr>
    <w:rPr>
      <w:rFonts w:ascii="Calibri" w:eastAsia="Times New Roman" w:hAnsi="Calibri" w:cs="Times New Roman"/>
      <w:b/>
      <w:bCs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910"/>
    <w:pPr>
      <w:widowControl w:val="0"/>
      <w:numPr>
        <w:ilvl w:val="2"/>
        <w:numId w:val="1"/>
      </w:numPr>
      <w:kinsoku w:val="0"/>
      <w:spacing w:before="200" w:after="0" w:line="271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4910"/>
    <w:pPr>
      <w:widowControl w:val="0"/>
      <w:numPr>
        <w:ilvl w:val="3"/>
        <w:numId w:val="1"/>
      </w:numPr>
      <w:kinsoku w:val="0"/>
      <w:spacing w:before="200" w:after="0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2B4910"/>
    <w:pPr>
      <w:widowControl w:val="0"/>
      <w:numPr>
        <w:ilvl w:val="4"/>
        <w:numId w:val="1"/>
      </w:numPr>
      <w:kinsoku w:val="0"/>
      <w:spacing w:before="200" w:after="0" w:line="240" w:lineRule="auto"/>
      <w:jc w:val="both"/>
      <w:outlineLvl w:val="4"/>
    </w:pPr>
    <w:rPr>
      <w:rFonts w:ascii="Cambria" w:eastAsia="Times New Roman" w:hAnsi="Cambria" w:cs="Times New Roman"/>
      <w:b/>
      <w:bCs/>
      <w:color w:val="7F7F7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2B4910"/>
    <w:pPr>
      <w:widowControl w:val="0"/>
      <w:numPr>
        <w:ilvl w:val="5"/>
        <w:numId w:val="1"/>
      </w:numPr>
      <w:kinsoku w:val="0"/>
      <w:spacing w:after="0"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2B4910"/>
    <w:pPr>
      <w:widowControl w:val="0"/>
      <w:numPr>
        <w:ilvl w:val="6"/>
        <w:numId w:val="1"/>
      </w:numPr>
      <w:kinsoku w:val="0"/>
      <w:spacing w:after="0" w:line="240" w:lineRule="auto"/>
      <w:jc w:val="both"/>
      <w:outlineLvl w:val="6"/>
    </w:pPr>
    <w:rPr>
      <w:rFonts w:ascii="Cambria" w:eastAsia="Times New Roman" w:hAnsi="Cambria" w:cs="Times New Roman"/>
      <w:i/>
      <w:iCs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2B4910"/>
    <w:pPr>
      <w:widowControl w:val="0"/>
      <w:numPr>
        <w:ilvl w:val="7"/>
        <w:numId w:val="1"/>
      </w:numPr>
      <w:kinsoku w:val="0"/>
      <w:spacing w:after="0" w:line="240" w:lineRule="auto"/>
      <w:jc w:val="both"/>
      <w:outlineLvl w:val="7"/>
    </w:pPr>
    <w:rPr>
      <w:rFonts w:ascii="Cambria" w:eastAsia="Times New Roman" w:hAnsi="Cambria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2B4910"/>
    <w:pPr>
      <w:widowControl w:val="0"/>
      <w:numPr>
        <w:ilvl w:val="8"/>
        <w:numId w:val="1"/>
      </w:numPr>
      <w:kinsoku w:val="0"/>
      <w:spacing w:after="0" w:line="240" w:lineRule="auto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D7C"/>
  </w:style>
  <w:style w:type="character" w:styleId="Strong">
    <w:name w:val="Strong"/>
    <w:basedOn w:val="DefaultParagraphFont"/>
    <w:uiPriority w:val="22"/>
    <w:qFormat/>
    <w:rsid w:val="00F209FE"/>
    <w:rPr>
      <w:b/>
      <w:bCs/>
    </w:rPr>
  </w:style>
  <w:style w:type="character" w:styleId="Emphasis">
    <w:name w:val="Emphasis"/>
    <w:basedOn w:val="DefaultParagraphFont"/>
    <w:uiPriority w:val="20"/>
    <w:qFormat/>
    <w:rsid w:val="002B18C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C33EA2"/>
    <w:rPr>
      <w:rFonts w:ascii="Times New Roman" w:eastAsia="Times New Roman" w:hAnsi="Times New Roman" w:cs="Times New Roman"/>
      <w:b/>
      <w:bCs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B4910"/>
    <w:rPr>
      <w:rFonts w:ascii="Calibri" w:eastAsia="Times New Roman" w:hAnsi="Calibri" w:cs="Times New Roman"/>
      <w:b/>
      <w:bCs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2B4910"/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2B4910"/>
    <w:rPr>
      <w:rFonts w:ascii="Cambria" w:eastAsia="Times New Roman" w:hAnsi="Cambria" w:cs="Times New Roman"/>
      <w:b/>
      <w:bCs/>
      <w:i/>
      <w:i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B4910"/>
    <w:rPr>
      <w:rFonts w:ascii="Cambria" w:eastAsia="Times New Roman" w:hAnsi="Cambria" w:cs="Times New Roman"/>
      <w:b/>
      <w:bCs/>
      <w:color w:val="7F7F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2B4910"/>
    <w:rPr>
      <w:rFonts w:ascii="Cambria" w:eastAsia="Times New Roman" w:hAnsi="Cambria" w:cs="Times New Roman"/>
      <w:b/>
      <w:bCs/>
      <w:i/>
      <w:iCs/>
      <w:color w:val="7F7F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rsid w:val="002B4910"/>
    <w:rPr>
      <w:rFonts w:ascii="Cambria" w:eastAsia="Times New Roman" w:hAnsi="Cambria" w:cs="Times New Roman"/>
      <w:i/>
      <w:iCs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2B4910"/>
    <w:rPr>
      <w:rFonts w:ascii="Cambria" w:eastAsia="Times New Roman" w:hAnsi="Cambria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2B4910"/>
    <w:rPr>
      <w:rFonts w:ascii="Cambria" w:eastAsia="Times New Roman" w:hAnsi="Cambria" w:cs="Times New Roman"/>
      <w:i/>
      <w:iCs/>
      <w:spacing w:val="5"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B4910"/>
    <w:pPr>
      <w:widowControl w:val="0"/>
      <w:kinsoku w:val="0"/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4910"/>
    <w:pPr>
      <w:widowControl w:val="0"/>
      <w:kinsoku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910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B49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20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BC"/>
  </w:style>
  <w:style w:type="paragraph" w:styleId="BalloonText">
    <w:name w:val="Balloon Text"/>
    <w:basedOn w:val="Normal"/>
    <w:link w:val="BalloonTextChar"/>
    <w:uiPriority w:val="99"/>
    <w:semiHidden/>
    <w:unhideWhenUsed/>
    <w:rsid w:val="0010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BC"/>
  </w:style>
  <w:style w:type="character" w:styleId="FollowedHyperlink">
    <w:name w:val="FollowedHyperlink"/>
    <w:basedOn w:val="DefaultParagraphFont"/>
    <w:uiPriority w:val="99"/>
    <w:semiHidden/>
    <w:unhideWhenUsed/>
    <w:rsid w:val="004D334D"/>
    <w:rPr>
      <w:color w:val="800080" w:themeColor="followedHyperlink"/>
      <w:u w:val="single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4D334D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D334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4D334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334D"/>
    <w:pPr>
      <w:spacing w:line="240" w:lineRule="auto"/>
    </w:pPr>
    <w:rPr>
      <w:rFonts w:ascii="Calibri" w:hAnsi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E2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354F"/>
    <w:rPr>
      <w:rFonts w:ascii="Calibri" w:eastAsia="Times New Roman" w:hAnsi="Calibri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9A48F0"/>
    <w:pPr>
      <w:tabs>
        <w:tab w:val="right" w:leader="dot" w:pos="10457"/>
      </w:tabs>
      <w:spacing w:after="240"/>
      <w:ind w:left="567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75AC-2626-46A7-B4E1-782F2543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llinsell</dc:creator>
  <cp:lastModifiedBy>llinsell</cp:lastModifiedBy>
  <cp:revision>6</cp:revision>
  <cp:lastPrinted>2016-10-05T16:10:00Z</cp:lastPrinted>
  <dcterms:created xsi:type="dcterms:W3CDTF">2017-02-16T12:11:00Z</dcterms:created>
  <dcterms:modified xsi:type="dcterms:W3CDTF">2017-05-17T15:04:00Z</dcterms:modified>
</cp:coreProperties>
</file>