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E" w:rsidRPr="005A08C6" w:rsidRDefault="00C849BE" w:rsidP="00C849BE">
      <w:pPr>
        <w:tabs>
          <w:tab w:val="left" w:pos="1603"/>
        </w:tabs>
        <w:rPr>
          <w:b/>
          <w:color w:val="FF0000"/>
        </w:rPr>
      </w:pPr>
      <w:r w:rsidRPr="005A08C6">
        <w:rPr>
          <w:b/>
          <w:color w:val="FF0000"/>
        </w:rPr>
        <w:t>Appendix A</w:t>
      </w:r>
    </w:p>
    <w:p w:rsidR="00C849BE" w:rsidRPr="005A08C6" w:rsidRDefault="00C849BE" w:rsidP="00C849BE">
      <w:pPr>
        <w:tabs>
          <w:tab w:val="left" w:pos="1603"/>
        </w:tabs>
        <w:rPr>
          <w:b/>
          <w:color w:val="FF0000"/>
        </w:rPr>
      </w:pPr>
      <w:r w:rsidRPr="005A08C6">
        <w:rPr>
          <w:b/>
          <w:color w:val="FF0000"/>
        </w:rPr>
        <w:t>Flow chart of patient selection</w:t>
      </w:r>
    </w:p>
    <w:p w:rsidR="00C849BE" w:rsidRDefault="00C849BE" w:rsidP="00C849BE">
      <w:pPr>
        <w:tabs>
          <w:tab w:val="left" w:pos="1603"/>
        </w:tabs>
        <w:rPr>
          <w:b/>
        </w:rPr>
      </w:pPr>
    </w:p>
    <w:p w:rsidR="00C849BE" w:rsidRDefault="00C849BE" w:rsidP="00C849BE">
      <w:pPr>
        <w:tabs>
          <w:tab w:val="left" w:pos="1603"/>
        </w:tabs>
        <w:rPr>
          <w:b/>
        </w:rPr>
      </w:pPr>
      <w:r>
        <w:rPr>
          <w:b/>
          <w:noProof/>
        </w:rPr>
        <w:drawing>
          <wp:inline distT="0" distB="0" distL="0" distR="0" wp14:anchorId="5FE886C4" wp14:editId="7686ECF5">
            <wp:extent cx="5730875" cy="52127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9BE" w:rsidRDefault="00C849BE" w:rsidP="00C849BE">
      <w:pPr>
        <w:rPr>
          <w:b/>
        </w:rPr>
      </w:pPr>
      <w:r>
        <w:rPr>
          <w:b/>
        </w:rPr>
        <w:br w:type="column"/>
      </w:r>
      <w:r w:rsidRPr="005A08C6">
        <w:rPr>
          <w:b/>
          <w:color w:val="FF0000"/>
        </w:rPr>
        <w:lastRenderedPageBreak/>
        <w:t>Appendix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76"/>
        <w:gridCol w:w="1741"/>
        <w:gridCol w:w="1749"/>
        <w:gridCol w:w="1959"/>
        <w:gridCol w:w="1417"/>
      </w:tblGrid>
      <w:tr w:rsidR="00C849BE" w:rsidRPr="004E55CA" w:rsidTr="001959E7">
        <w:trPr>
          <w:cantSplit/>
          <w:trHeight w:val="35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</w:t>
            </w: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ercentage of each cohort that scored below NM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S</w:t>
            </w: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E55C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Year 3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0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 (%)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n=941</w:t>
            </w: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Non-</w:t>
            </w:r>
            <w:proofErr w:type="gramStart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burns(</w:t>
            </w:r>
            <w:proofErr w:type="gramEnd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(n=3495)</w:t>
            </w:r>
          </w:p>
        </w:tc>
        <w:tc>
          <w:tcPr>
            <w:tcW w:w="9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OR (95%CI)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Grammar/Punctuation</w:t>
            </w:r>
          </w:p>
        </w:tc>
        <w:tc>
          <w:tcPr>
            <w:tcW w:w="10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135 (14.3)</w:t>
            </w: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          </w:t>
            </w: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321(9.2)</w:t>
            </w: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1.64 (1.32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2.03)</w:t>
            </w:r>
          </w:p>
        </w:tc>
        <w:tc>
          <w:tcPr>
            <w:tcW w:w="87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127(13.5)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299 (8.6)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1.65 (1.32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2.06)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Spelling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125 (13.3)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304 (8.7)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1.60 (1.28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2.00)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110 (11.7)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168 (4.8)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1.68 (1.32-2.12)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Numeracy</w:t>
            </w:r>
          </w:p>
        </w:tc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118 (12.5)</w:t>
            </w: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hAnsi="Garamond" w:cs="Times New Roman"/>
                <w:color w:val="000000"/>
                <w:sz w:val="24"/>
                <w:szCs w:val="24"/>
              </w:rPr>
              <w:t>318 (9.1)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1.42 (1.13-1.78)</w:t>
            </w:r>
          </w:p>
        </w:tc>
        <w:tc>
          <w:tcPr>
            <w:tcW w:w="874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p&lt;0.01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Rates in  each cohort that scored below NM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S</w:t>
            </w: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E55C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Year 5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0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 (%)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n=677</w:t>
            </w: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Non </w:t>
            </w:r>
            <w:proofErr w:type="gramStart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burns(</w:t>
            </w:r>
            <w:proofErr w:type="gramEnd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(n=2481)</w:t>
            </w:r>
          </w:p>
        </w:tc>
        <w:tc>
          <w:tcPr>
            <w:tcW w:w="9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OR (95%CI)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Grammar/Punctuation</w:t>
            </w:r>
          </w:p>
        </w:tc>
        <w:tc>
          <w:tcPr>
            <w:tcW w:w="10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106 (15.7)</w:t>
            </w: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269 (10.8)</w:t>
            </w: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1.53 (1.20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1.95)</w:t>
            </w:r>
          </w:p>
        </w:tc>
        <w:tc>
          <w:tcPr>
            <w:tcW w:w="87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104 (15.4)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268 (10.8)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1.50 (1.17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1.90)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Spelling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98 (14.5)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223 (9.0)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1.72 (1.33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1.24)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126 (18.6)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287 (11.6)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1.75 (1.39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2.20)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Numeracy</w:t>
            </w:r>
          </w:p>
        </w:tc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79 (11.7)</w:t>
            </w: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263 (10.6)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1.11 (0.8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874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.44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Rates in  each cohort that scored below NM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S</w:t>
            </w: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E55C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Year 7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0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 (%)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n=677</w:t>
            </w: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Non </w:t>
            </w:r>
            <w:proofErr w:type="gramStart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burns(</w:t>
            </w:r>
            <w:proofErr w:type="gramEnd"/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%)</w:t>
            </w:r>
          </w:p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(n=2481)</w:t>
            </w:r>
          </w:p>
        </w:tc>
        <w:tc>
          <w:tcPr>
            <w:tcW w:w="9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OR (95%CI)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Grammar/Punctuation</w:t>
            </w:r>
          </w:p>
        </w:tc>
        <w:tc>
          <w:tcPr>
            <w:tcW w:w="10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57 (15.1)</w:t>
            </w: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156  (12.8)</w:t>
            </w: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1.39 (1.00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1.94)</w:t>
            </w:r>
          </w:p>
        </w:tc>
        <w:tc>
          <w:tcPr>
            <w:tcW w:w="87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49 (13.0)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127 (10.4)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1.47  (1.03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2.09)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Spelling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98 (26.0)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223 (18.2)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1.26 (0.87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1.83)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65 (17.2)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182 (14.9)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1.37 (1.00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1.87)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849BE" w:rsidRPr="004E55CA" w:rsidTr="001959E7">
        <w:trPr>
          <w:cantSplit/>
          <w:trHeight w:val="350"/>
          <w:jc w:val="center"/>
        </w:trPr>
        <w:tc>
          <w:tcPr>
            <w:tcW w:w="1112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Numeracy</w:t>
            </w:r>
          </w:p>
        </w:tc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37 (9.8)</w:t>
            </w: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112 (9.2)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1.22 (0.83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to </w:t>
            </w:r>
            <w:r w:rsidRPr="004E55C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1.81)</w:t>
            </w:r>
          </w:p>
        </w:tc>
        <w:tc>
          <w:tcPr>
            <w:tcW w:w="874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849BE" w:rsidRPr="004E55CA" w:rsidRDefault="00C849BE" w:rsidP="001959E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0.35</w:t>
            </w:r>
          </w:p>
        </w:tc>
      </w:tr>
    </w:tbl>
    <w:p w:rsidR="00C849BE" w:rsidRPr="00BF5328" w:rsidRDefault="00C849BE" w:rsidP="00C849BE">
      <w:pPr>
        <w:rPr>
          <w:b/>
        </w:rPr>
      </w:pPr>
    </w:p>
    <w:p w:rsidR="00FE48C2" w:rsidRDefault="00FE48C2">
      <w:bookmarkStart w:id="0" w:name="_GoBack"/>
      <w:bookmarkEnd w:id="0"/>
    </w:p>
    <w:sectPr w:rsidR="00FE48C2" w:rsidSect="008609F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75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B3E" w:rsidRDefault="00C84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B3E" w:rsidRDefault="00C849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E"/>
    <w:rsid w:val="00C849BE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B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BE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B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BE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2E42AE4D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Holland</dc:creator>
  <cp:lastModifiedBy>Andrew Holland</cp:lastModifiedBy>
  <cp:revision>1</cp:revision>
  <dcterms:created xsi:type="dcterms:W3CDTF">2017-08-23T04:27:00Z</dcterms:created>
  <dcterms:modified xsi:type="dcterms:W3CDTF">2017-08-23T04:29:00Z</dcterms:modified>
</cp:coreProperties>
</file>